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213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үлек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4. </w:t>
      </w:r>
      <w:bookmarkStart w:id="0" w:name="_GoBack"/>
      <w:r w:rsidRPr="00B22138">
        <w:rPr>
          <w:rFonts w:ascii="Times New Roman" w:hAnsi="Times New Roman" w:cs="Times New Roman"/>
          <w:sz w:val="28"/>
          <w:szCs w:val="28"/>
        </w:rPr>
        <w:t>КВАЛИФИКАЦИЯ ТАЛӘ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ӘРЕ</w:t>
      </w:r>
      <w:bookmarkEnd w:id="0"/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>МУНИЦИПАЛЬ ХЕЗМӘТ ВАЗЫЙФАЛАРЫН БИЛӘҮ БУЕНЧА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әҗәсенә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юнәлешенә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әйдәүче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юнәлешенә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стажына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стажына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алдынгы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кимендә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әйдәп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әйдә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буенча-югары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яки кече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.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стажына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квалификациягә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төркемнәр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стажына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таләпләр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билгеләнми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күнекмәләргә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а) Россия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Конституциясен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«Россия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законны, «Россия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» 2007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мартындагы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25-ФЗ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законны, «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коррупциягә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» 2008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273-ФЗ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законны, Татарстан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Конституциясен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«Татарстан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» 2004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июлендәге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45-ТРЗ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Законын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Татарстан», Татарстан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«Татар Шуганы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Уставы,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вазыйфасы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саклауның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норматив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таләпләре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куркынычсызлыгы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кагыйдәләре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органында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1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әртибе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кагыйдәләре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lastRenderedPageBreak/>
        <w:t>бурычларны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үтәүгә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 норматив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актлар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әйдәп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нигезләре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күнекмәләр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.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Мәгълүмати-коммуникацион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күнекмәләргә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таләпләре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технологияләрне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>1) база-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әйдә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: аппарат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мәгълүмати-коммуникацион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мөмкинлекләре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үзенчәлекләрен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ведомствоара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әйләнеше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мөмкинлекләрен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иминлеген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мәсьәлә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әрне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кертеп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күнекмәлә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компьютерның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периферий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җайланмалары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-телекоммуникация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челтәрләре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челтәре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операцион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электрон почта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текст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редакторында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электрон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таблицалар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презентацияләр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әзерләү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электрон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документларда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график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объектларны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базалары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.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киңәйтелгән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-коммуникация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аспектлар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продуктлар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1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-коммуникация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сәясәте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өстенлекләрен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-коммуникация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аппарат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тәэминатын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мәгълүмати-коммуникацион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мөмкинлекләрен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үзенчәлекләрен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ведомствоара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әйләнеше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мөмкинлекләрен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мөмкинлекләрен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үзенчәлекләрен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оешмаларга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аспектлар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куркынычсызлыкны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проект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идарәсе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нигезләрен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мәсьәлә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күнекмәлә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-коммуникация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технологияләрен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мөмкинлекләрен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үзенчәлекләрен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стратегик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эшчәнлеге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компьютерның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периферийлы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җайланмалары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-телекоммуникация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челтәрләре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челтәре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операцион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электрон почта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13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текст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редакторында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электрон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таблицалар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lastRenderedPageBreak/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базалары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проектлар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.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оешмалар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әшлек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ведомствоара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хезмәттәшлек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ресурслары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җыю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эшкәртү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анализын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-аналитик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электрон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архивлар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куркынычсызлык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эксплуатация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13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күнекмәлә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21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оешмалар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хезмәттәшлек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ведомствоара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хезмәттәшлек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ресурслары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мәгълүматларны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җыюны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эшкәртүне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саклауны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анализлауны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-аналитик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электрон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архивларга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13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куркынычсызлык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эксплуатацияләү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.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4. Контракт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әкчесе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вазыйфасына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кандидатларга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квалификацион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таләпләр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: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дәү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төркемендәге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тиңләштерелгән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белгечлек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кимендә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B22138" w:rsidRPr="00B22138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B221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әкчесе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органы,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бүлекчәләре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вазыйфаларында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да ким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эшчәнлеге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тәҗрибәсе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;</w:t>
      </w:r>
    </w:p>
    <w:p w:rsidR="00D13444" w:rsidRPr="00B22138" w:rsidRDefault="00B22138" w:rsidP="00B22138">
      <w:r w:rsidRPr="00B221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B2213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138">
        <w:rPr>
          <w:rFonts w:ascii="Times New Roman" w:hAnsi="Times New Roman" w:cs="Times New Roman"/>
          <w:sz w:val="28"/>
          <w:szCs w:val="28"/>
        </w:rPr>
        <w:t>әкчесе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вазифаларын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күләмдә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38">
        <w:rPr>
          <w:rFonts w:ascii="Times New Roman" w:hAnsi="Times New Roman" w:cs="Times New Roman"/>
          <w:sz w:val="28"/>
          <w:szCs w:val="28"/>
        </w:rPr>
        <w:t>күнекмәләр</w:t>
      </w:r>
      <w:proofErr w:type="spellEnd"/>
      <w:r w:rsidRPr="00B22138">
        <w:rPr>
          <w:rFonts w:ascii="Times New Roman" w:hAnsi="Times New Roman" w:cs="Times New Roman"/>
          <w:sz w:val="28"/>
          <w:szCs w:val="28"/>
        </w:rPr>
        <w:t>.</w:t>
      </w:r>
    </w:p>
    <w:sectPr w:rsidR="00D13444" w:rsidRPr="00B22138" w:rsidSect="00B221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F"/>
    <w:rsid w:val="007750D0"/>
    <w:rsid w:val="00B22138"/>
    <w:rsid w:val="00BF51EA"/>
    <w:rsid w:val="00CB245F"/>
    <w:rsid w:val="00D13444"/>
    <w:rsid w:val="00E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2018-12-06T13:35:00Z</dcterms:created>
  <dcterms:modified xsi:type="dcterms:W3CDTF">2018-12-07T05:24:00Z</dcterms:modified>
</cp:coreProperties>
</file>