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E85FF6" w:rsidRPr="00E85FF6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r w:rsidR="00B72F63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E85FF6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 xml:space="preserve">постановления Исполнительного комитета </w:t>
      </w:r>
      <w:r w:rsidR="00B72F63">
        <w:rPr>
          <w:b/>
          <w:color w:val="171717"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BD1D27" w:rsidRPr="00BD1D27">
        <w:rPr>
          <w:b/>
          <w:color w:val="171717"/>
          <w:sz w:val="28"/>
          <w:szCs w:val="28"/>
        </w:rPr>
        <w:t>Азнакаевского муниципального района «</w:t>
      </w:r>
      <w:r w:rsidR="00E85FF6" w:rsidRPr="00E85FF6">
        <w:rPr>
          <w:b/>
          <w:color w:val="171717"/>
          <w:sz w:val="28"/>
          <w:szCs w:val="28"/>
        </w:rPr>
        <w:t xml:space="preserve">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r w:rsidR="00B72F63">
        <w:rPr>
          <w:b/>
          <w:color w:val="171717"/>
          <w:sz w:val="28"/>
          <w:szCs w:val="28"/>
        </w:rPr>
        <w:t>муниципального образования «поселок городского типа Актюбинский»</w:t>
      </w:r>
      <w:r w:rsidR="00B72F63">
        <w:rPr>
          <w:b/>
          <w:color w:val="171717"/>
          <w:sz w:val="28"/>
          <w:szCs w:val="28"/>
        </w:rPr>
        <w:t xml:space="preserve"> </w:t>
      </w:r>
      <w:r w:rsidR="00E85FF6" w:rsidRPr="00E85FF6">
        <w:rPr>
          <w:b/>
          <w:color w:val="171717"/>
          <w:sz w:val="28"/>
          <w:szCs w:val="28"/>
        </w:rPr>
        <w:t>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="00B72F63" w:rsidRPr="00B72F63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образования «поселок городского типа Актюбинский»</w:t>
      </w:r>
      <w:r w:rsidR="00B72F63">
        <w:rPr>
          <w:b/>
          <w:color w:val="171717"/>
          <w:sz w:val="28"/>
          <w:szCs w:val="28"/>
        </w:rPr>
        <w:t xml:space="preserve">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72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B72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Мифтахова Альбина Асгатовна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proofErr w:type="spellStart"/>
      <w:r w:rsidR="00B72F63" w:rsidRPr="005E2E28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="00B72F63" w:rsidRPr="005E2E28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B72F63" w:rsidRPr="005E2E28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="00B72F63" w:rsidRPr="005E2E28">
        <w:rPr>
          <w:rFonts w:ascii="Times New Roman" w:hAnsi="Times New Roman" w:cs="Times New Roman"/>
          <w:sz w:val="25"/>
          <w:szCs w:val="25"/>
        </w:rPr>
        <w:t>@</w:t>
      </w:r>
      <w:r w:rsidR="00B72F63" w:rsidRPr="005E2E28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="00B72F63" w:rsidRPr="005E2E28">
        <w:rPr>
          <w:rFonts w:ascii="Times New Roman" w:hAnsi="Times New Roman" w:cs="Times New Roman"/>
          <w:sz w:val="25"/>
          <w:szCs w:val="25"/>
        </w:rPr>
        <w:t>.</w:t>
      </w:r>
      <w:r w:rsidR="00B72F63" w:rsidRPr="005E2E28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п.г.т. Актюбинский,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72F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F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7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20-65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</w:t>
      </w:r>
      <w:r w:rsidR="00DC13B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постановления 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B72F63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974A76"/>
    <w:rsid w:val="00B72F63"/>
    <w:rsid w:val="00BC1F0D"/>
    <w:rsid w:val="00BD1D27"/>
    <w:rsid w:val="00CA64DC"/>
    <w:rsid w:val="00DC13BC"/>
    <w:rsid w:val="00E776A3"/>
    <w:rsid w:val="00E85FF6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11</cp:revision>
  <dcterms:created xsi:type="dcterms:W3CDTF">2021-09-02T04:29:00Z</dcterms:created>
  <dcterms:modified xsi:type="dcterms:W3CDTF">2022-01-14T11:51:00Z</dcterms:modified>
</cp:coreProperties>
</file>