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BFE" w:rsidRDefault="006C42C2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СПРАВОЧНАЯ ИНФОРМАЦИЯ</w:t>
      </w:r>
    </w:p>
    <w:p w:rsidR="00692BFE" w:rsidRDefault="006C42C2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объединению программы субсидирования процентной ставки (Программа 1764) и программы стимулирования кредитования АО «Корпорация МСП»</w:t>
      </w:r>
    </w:p>
    <w:p w:rsidR="00692BFE" w:rsidRDefault="00692BFE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16.08.2022 №1420 запущена новая программа льготного кредитования.</w:t>
      </w: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реализуется за счет совмещения двух ранее действовавших программ:</w:t>
      </w: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 «Программа 1764» - реализуемая Минэкономразвития России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через механизм субсидирования банкам части процентной ставки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рамках национального проекта «Малое и среднее предпринимательство и поддержка индивидуальной предпринимательской инициативы».</w:t>
      </w: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«ПСК Инвестиционная»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(Программа стимулирования кредитования)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реализуемая АО «Корпорация МСП» и Центральным Банком Российской Федерации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через льготное фондирование банков.</w:t>
      </w:r>
    </w:p>
    <w:p w:rsidR="00692BFE" w:rsidRDefault="006C42C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 кредитования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Инвестиционные цели - приобретение (сооружение, изготовление, достройка, дооборудование, реконструкция, модернизация и техническое перевооружение) основных средств (включая строительство, реконструкцию, модернизацию объектов капитального строительства, в том числе выполнение инженерных изысканий, подготовку проектной документации для их строительства, реконструкции, модернизации).</w:t>
      </w:r>
      <w:proofErr w:type="gramEnd"/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Процентные ставки:</w:t>
      </w: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3,0 %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для среднего бизнеса;</w:t>
      </w: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4,5%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малого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микропредприятий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Срок кредита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до 10 лет, из которых льготный период до 5 лет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(по ставкам 3-4,5% в течение первых трех лет, по ставке ключ ЦБ +2.75 последующие два года)</w:t>
      </w:r>
      <w:proofErr w:type="gramEnd"/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Сумма кредита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от 50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 1 млрд рублей</w:t>
      </w:r>
    </w:p>
    <w:p w:rsidR="00692BFE" w:rsidRDefault="006C42C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Категория получателей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Перечень отраслей утвержден АО «Корпорация МСП»)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субъекты МСП осуществляющие деятельность по основному ОКВЭД в приоритетных отраслях:</w:t>
      </w:r>
    </w:p>
    <w:p w:rsidR="00692BFE" w:rsidRDefault="006C42C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Обрабатывающего производства, в том числе производство пищевых продуктов, первичная и последующая (промышленная) переработка сельскохозяйственной продукции,  </w:t>
      </w:r>
    </w:p>
    <w:p w:rsidR="00692BFE" w:rsidRDefault="006C42C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Транспортировки и хранения, </w:t>
      </w:r>
    </w:p>
    <w:p w:rsidR="00692BFE" w:rsidRDefault="006C42C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Деятельности гостиниц и предприятий общественного питания</w:t>
      </w:r>
    </w:p>
    <w:p w:rsidR="00692BFE" w:rsidRDefault="00692BFE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92BFE" w:rsidRDefault="006C42C2">
      <w:pPr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Справочно: </w:t>
      </w:r>
    </w:p>
    <w:p w:rsidR="00692BFE" w:rsidRDefault="006C42C2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Обрабатывающее производство – 24 класса по ОКВЭД (в РТ 11 082 субъекта МСП)</w:t>
      </w:r>
    </w:p>
    <w:p w:rsidR="00692BFE" w:rsidRDefault="006C42C2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Транспортировка и хранение – 1 класс по ОКВЭД (в РТ 1964 субъекта МСП)</w:t>
      </w:r>
    </w:p>
    <w:p w:rsidR="00692BFE" w:rsidRDefault="006C42C2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i/>
          <w:sz w:val="24"/>
          <w:szCs w:val="24"/>
        </w:rPr>
        <w:t>Деятельность гостиниц и предприятий общественного питания – 1 класс по ОКВЭД (в РТ 521 субъект МСП)</w:t>
      </w:r>
    </w:p>
    <w:p w:rsidR="00692BFE" w:rsidRDefault="00692BFE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Лимит по программе: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50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млрд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до конца 2022 года.</w:t>
      </w: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Банки участники: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всего к участию в </w:t>
      </w:r>
      <w:r w:rsidR="002E7494">
        <w:rPr>
          <w:rFonts w:ascii="Times New Roman" w:eastAsia="Times New Roman" w:hAnsi="Times New Roman" w:cs="Times New Roman"/>
          <w:sz w:val="28"/>
          <w:szCs w:val="28"/>
        </w:rPr>
        <w:t>программе отобрано 48</w:t>
      </w:r>
      <w:r w:rsidR="00C66B5A">
        <w:rPr>
          <w:rFonts w:ascii="Times New Roman" w:eastAsia="Times New Roman" w:hAnsi="Times New Roman" w:cs="Times New Roman"/>
          <w:sz w:val="28"/>
          <w:szCs w:val="28"/>
        </w:rPr>
        <w:t xml:space="preserve"> банков, 1</w:t>
      </w:r>
      <w:r w:rsidR="00C66B5A" w:rsidRPr="00C66B5A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которых представлены в Республике Татарстан:</w:t>
      </w:r>
    </w:p>
    <w:tbl>
      <w:tblPr>
        <w:tblStyle w:val="a5"/>
        <w:tblW w:w="1020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33"/>
        <w:gridCol w:w="5073"/>
      </w:tblGrid>
      <w:tr w:rsidR="00692BFE">
        <w:tc>
          <w:tcPr>
            <w:tcW w:w="5133" w:type="dxa"/>
          </w:tcPr>
          <w:p w:rsidR="00692BFE" w:rsidRDefault="006C42C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СБЕРБАНК</w:t>
            </w:r>
          </w:p>
        </w:tc>
        <w:tc>
          <w:tcPr>
            <w:tcW w:w="5073" w:type="dxa"/>
          </w:tcPr>
          <w:p w:rsidR="00692BFE" w:rsidRDefault="006C42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МСП БАНК</w:t>
            </w:r>
          </w:p>
        </w:tc>
      </w:tr>
      <w:tr w:rsidR="00692BFE">
        <w:tc>
          <w:tcPr>
            <w:tcW w:w="5133" w:type="dxa"/>
          </w:tcPr>
          <w:p w:rsidR="00692BFE" w:rsidRDefault="006C42C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БАНК ВТБ</w:t>
            </w:r>
          </w:p>
        </w:tc>
        <w:tc>
          <w:tcPr>
            <w:tcW w:w="5073" w:type="dxa"/>
          </w:tcPr>
          <w:p w:rsidR="00692BFE" w:rsidRDefault="006C42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КБЭР БАНК КАЗАНИ</w:t>
            </w:r>
          </w:p>
        </w:tc>
      </w:tr>
      <w:tr w:rsidR="00692BFE">
        <w:tc>
          <w:tcPr>
            <w:tcW w:w="5133" w:type="dxa"/>
          </w:tcPr>
          <w:p w:rsidR="00692BFE" w:rsidRDefault="006C42C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ПРОМСВЯЗЬБАНК</w:t>
            </w:r>
          </w:p>
        </w:tc>
        <w:tc>
          <w:tcPr>
            <w:tcW w:w="5073" w:type="dxa"/>
          </w:tcPr>
          <w:p w:rsidR="00692BFE" w:rsidRDefault="006C42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АК БАРС БАНК</w:t>
            </w:r>
          </w:p>
        </w:tc>
      </w:tr>
      <w:tr w:rsidR="00692BFE">
        <w:tc>
          <w:tcPr>
            <w:tcW w:w="5133" w:type="dxa"/>
          </w:tcPr>
          <w:p w:rsidR="00692BFE" w:rsidRDefault="006C42C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БАНК ФК ОТКРЫТИЕ</w:t>
            </w:r>
          </w:p>
        </w:tc>
        <w:tc>
          <w:tcPr>
            <w:tcW w:w="5073" w:type="dxa"/>
          </w:tcPr>
          <w:p w:rsidR="00692BFE" w:rsidRDefault="006C42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АКИБАНК</w:t>
            </w:r>
          </w:p>
        </w:tc>
      </w:tr>
      <w:tr w:rsidR="00692BFE">
        <w:tc>
          <w:tcPr>
            <w:tcW w:w="5133" w:type="dxa"/>
          </w:tcPr>
          <w:p w:rsidR="00692BFE" w:rsidRDefault="006C42C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РОССЕЛЬХОЗБАНК</w:t>
            </w:r>
          </w:p>
        </w:tc>
        <w:tc>
          <w:tcPr>
            <w:tcW w:w="5073" w:type="dxa"/>
          </w:tcPr>
          <w:p w:rsidR="00692BFE" w:rsidRDefault="006C42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БАНК ЗЕНИТ</w:t>
            </w:r>
          </w:p>
        </w:tc>
      </w:tr>
      <w:tr w:rsidR="00692BFE">
        <w:tc>
          <w:tcPr>
            <w:tcW w:w="5133" w:type="dxa"/>
          </w:tcPr>
          <w:p w:rsidR="00692BFE" w:rsidRDefault="006C42C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БАНК ГПБ</w:t>
            </w:r>
          </w:p>
        </w:tc>
        <w:tc>
          <w:tcPr>
            <w:tcW w:w="5073" w:type="dxa"/>
          </w:tcPr>
          <w:p w:rsidR="00692BFE" w:rsidRDefault="006C42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МТС-БАНК</w:t>
            </w:r>
          </w:p>
        </w:tc>
      </w:tr>
      <w:tr w:rsidR="00692BFE">
        <w:tc>
          <w:tcPr>
            <w:tcW w:w="5133" w:type="dxa"/>
          </w:tcPr>
          <w:p w:rsidR="00692BFE" w:rsidRDefault="006C42C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РАЙФФАЙЗЕНБАНК</w:t>
            </w:r>
          </w:p>
        </w:tc>
        <w:tc>
          <w:tcPr>
            <w:tcW w:w="5073" w:type="dxa"/>
          </w:tcPr>
          <w:p w:rsidR="00692BFE" w:rsidRDefault="006C42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СМП БАНК</w:t>
            </w:r>
          </w:p>
        </w:tc>
      </w:tr>
      <w:tr w:rsidR="00692BFE">
        <w:tc>
          <w:tcPr>
            <w:tcW w:w="5133" w:type="dxa"/>
          </w:tcPr>
          <w:p w:rsidR="00692BFE" w:rsidRDefault="006C42C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БАНК ДОМ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</w:p>
        </w:tc>
        <w:tc>
          <w:tcPr>
            <w:tcW w:w="5073" w:type="dxa"/>
          </w:tcPr>
          <w:p w:rsidR="00692BFE" w:rsidRDefault="006C42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КАМКОМБАНК</w:t>
            </w:r>
          </w:p>
        </w:tc>
      </w:tr>
      <w:tr w:rsidR="00692BFE">
        <w:tc>
          <w:tcPr>
            <w:tcW w:w="5133" w:type="dxa"/>
          </w:tcPr>
          <w:p w:rsidR="00692BFE" w:rsidRDefault="006C42C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БАНК ИНТЕЗА</w:t>
            </w:r>
          </w:p>
        </w:tc>
        <w:tc>
          <w:tcPr>
            <w:tcW w:w="5073" w:type="dxa"/>
          </w:tcPr>
          <w:p w:rsidR="00692BFE" w:rsidRPr="006C42C2" w:rsidRDefault="006C42C2">
            <w:pPr>
              <w:spacing w:after="12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2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BF5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АКБ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ЭНЕРГОБАНК</w:t>
            </w:r>
          </w:p>
        </w:tc>
      </w:tr>
    </w:tbl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Кредитными организациями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течени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одного месяца будут разработаны соответствующие продукты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начнется работа по приему заявок от предпринимателей.</w:t>
      </w:r>
    </w:p>
    <w:p w:rsidR="00692BFE" w:rsidRDefault="00692BFE">
      <w:pPr>
        <w:spacing w:after="120" w:line="240" w:lineRule="auto"/>
        <w:ind w:left="283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92BFE" w:rsidRDefault="006C42C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новой кредитной программе доведена до муниципальных образований Республики Татарстан в рамках заседания рабочей группы по обеспечению устойчивого развития экономики Республики Татарстан, а также размещена в социальных сетях и СМИ.</w:t>
      </w:r>
    </w:p>
    <w:p w:rsidR="00692BFE" w:rsidRDefault="006C42C2">
      <w:pPr>
        <w:spacing w:after="120" w:line="240" w:lineRule="auto"/>
        <w:ind w:left="2268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Справочно: </w:t>
      </w:r>
    </w:p>
    <w:p w:rsidR="00692BFE" w:rsidRDefault="006C42C2">
      <w:pPr>
        <w:spacing w:after="120" w:line="240" w:lineRule="auto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Постановлением также внесены изменения в Программу 1764:</w:t>
      </w:r>
    </w:p>
    <w:p w:rsidR="00692BFE" w:rsidRDefault="006C42C2">
      <w:pPr>
        <w:spacing w:after="120" w:line="240" w:lineRule="auto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Зафиксирована ставка кредитования по инвестиционным кредитам и кредитам на пополнение оборотных средств, в размере не более 12,25%, ранее она рассчитывалась как ключевая ЦБ РФ + 2,75% (8%+2,75%=11,75%).</w:t>
      </w:r>
    </w:p>
    <w:p w:rsidR="00692BFE" w:rsidRDefault="006C42C2">
      <w:pPr>
        <w:spacing w:after="120" w:line="240" w:lineRule="auto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По кредитам на развитие предпринимательской деятельности (до 10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млн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руб. без целевого использования) ставки зафиксированы в размере 13,25% годовых, ранее она рассчитывалась как ключевая ЦБ РФ + 3,5% (8%+3,5%=11,5%).</w:t>
      </w:r>
    </w:p>
    <w:p w:rsidR="00692BFE" w:rsidRDefault="006C42C2">
      <w:pPr>
        <w:spacing w:after="120" w:line="240" w:lineRule="auto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Разрешено заключать кредитные соглашения на пополнение оборотных средств сроком до 3-х лет (ранее только до 1 года, при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этом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срок предоставления субсидии составляет 1 год).</w:t>
      </w:r>
    </w:p>
    <w:p w:rsidR="00692BFE" w:rsidRDefault="00692BFE">
      <w:pPr>
        <w:spacing w:after="120" w:line="240" w:lineRule="auto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a6"/>
        <w:tblW w:w="10480" w:type="dxa"/>
        <w:tblInd w:w="-294" w:type="dxa"/>
        <w:tblLayout w:type="fixed"/>
        <w:tblLook w:val="0400" w:firstRow="0" w:lastRow="0" w:firstColumn="0" w:lastColumn="0" w:noHBand="0" w:noVBand="1"/>
      </w:tblPr>
      <w:tblGrid>
        <w:gridCol w:w="2602"/>
        <w:gridCol w:w="1399"/>
        <w:gridCol w:w="4595"/>
        <w:gridCol w:w="1884"/>
      </w:tblGrid>
      <w:tr w:rsidR="00692BFE">
        <w:trPr>
          <w:trHeight w:val="1155"/>
        </w:trPr>
        <w:tc>
          <w:tcPr>
            <w:tcW w:w="10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количество субъектов МСП по состоянию на 10.08.2022 в соответствии с Перечнем приоритетных отраслей (видов деятельности)</w:t>
            </w:r>
          </w:p>
        </w:tc>
      </w:tr>
      <w:tr w:rsidR="00692BFE">
        <w:trPr>
          <w:trHeight w:val="1500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 деятельности в соответствии с Правилами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Номер класса по ОКВЭД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proofErr w:type="gramEnd"/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класса ОКВЭД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(включает все входящие в класс группы, если не указано иное)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МСП на 10.08.2022 </w:t>
            </w:r>
          </w:p>
        </w:tc>
      </w:tr>
      <w:tr w:rsidR="00692BFE">
        <w:trPr>
          <w:trHeight w:val="300"/>
        </w:trPr>
        <w:tc>
          <w:tcPr>
            <w:tcW w:w="260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Обрабатывающее производство, в том числе производство пищевых продуктов, первичная и последующая (промышленная) переработка сельскохозяйственной продукции, в том числе в целях 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импортозамещения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несырьевого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экспорта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пищевых продуктов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1296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11.06.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солода.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92BFE">
        <w:trPr>
          <w:trHeight w:val="6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11.07.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безалкогольных напитков; производство упакованных питьевых вод, включая минеральные воды.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текстильных изделий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306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одежды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кожи и изделий из кожи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</w:tr>
      <w:tr w:rsidR="00692BFE">
        <w:trPr>
          <w:trHeight w:val="9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587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бумаги и бумажных изделий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Деятельность полиграфическая и копирование носителей информации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476</w:t>
            </w:r>
          </w:p>
        </w:tc>
      </w:tr>
      <w:tr w:rsidR="00692BFE">
        <w:trPr>
          <w:trHeight w:val="6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кокса и нефтепродуктов (за исключением подкласса 19.2, группы 19.20, подгрупп 19.20.1, 19.20.2, 19.20.9)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92BFE">
        <w:trPr>
          <w:trHeight w:val="6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химических веществ и химических продуктов (за исключением группы 20.14, подгрупп 20.14.1, 20.14.2)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399</w:t>
            </w:r>
          </w:p>
        </w:tc>
      </w:tr>
      <w:tr w:rsidR="00692BFE">
        <w:trPr>
          <w:trHeight w:val="6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лекарственных средств и материалов, применяемых в медицинских целях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резиновых и пластмассовых изделий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730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прочей неметаллической минеральной продукции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728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металлургическое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</w:tr>
      <w:tr w:rsidR="00692BFE">
        <w:trPr>
          <w:trHeight w:val="6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1961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компьютеров, электронных и оптических изделий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246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электрического оборудования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219</w:t>
            </w:r>
          </w:p>
        </w:tc>
      </w:tr>
      <w:tr w:rsidR="00692BFE">
        <w:trPr>
          <w:trHeight w:val="6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машин и оборудования, не включенных в другие группировки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407</w:t>
            </w:r>
          </w:p>
        </w:tc>
      </w:tr>
      <w:tr w:rsidR="00692BFE">
        <w:trPr>
          <w:trHeight w:val="6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автотранспортных средств, прицепов и полуприцепов (за исключением подкласса 29.1, группы 29.10, подгруппы 29.10.2)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279</w:t>
            </w:r>
          </w:p>
        </w:tc>
      </w:tr>
      <w:tr w:rsidR="00692BFE">
        <w:trPr>
          <w:trHeight w:val="6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прочих транспортных средств и оборудования (за исключением группы 30.91)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мебели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820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Производство прочих готовых изделий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366</w:t>
            </w:r>
          </w:p>
        </w:tc>
      </w:tr>
      <w:tr w:rsidR="00692BFE">
        <w:trPr>
          <w:trHeight w:val="300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92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Ремонт и монтаж машин и оборудования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1224</w:t>
            </w:r>
          </w:p>
        </w:tc>
      </w:tr>
      <w:tr w:rsidR="00692BFE">
        <w:trPr>
          <w:trHeight w:val="300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Транспортировка и хранение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1964</w:t>
            </w:r>
          </w:p>
        </w:tc>
      </w:tr>
      <w:tr w:rsidR="00692BFE">
        <w:trPr>
          <w:trHeight w:val="600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Деятельность гостиниц и предприятий общественного питания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Деятельность по предоставлению мест для временного проживания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521</w:t>
            </w:r>
          </w:p>
        </w:tc>
      </w:tr>
      <w:tr w:rsidR="00692BFE">
        <w:trPr>
          <w:trHeight w:val="315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2BFE" w:rsidRDefault="006C42C2">
            <w:pPr>
              <w:spacing w:after="12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13567</w:t>
            </w:r>
          </w:p>
        </w:tc>
      </w:tr>
    </w:tbl>
    <w:p w:rsidR="00692BFE" w:rsidRDefault="00692BFE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692BFE">
      <w:pgSz w:w="11906" w:h="16838"/>
      <w:pgMar w:top="1560" w:right="566" w:bottom="28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26D1E"/>
    <w:multiLevelType w:val="multilevel"/>
    <w:tmpl w:val="DB726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09163F"/>
    <w:multiLevelType w:val="multilevel"/>
    <w:tmpl w:val="56ECFB10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BFE"/>
    <w:rsid w:val="00060A6E"/>
    <w:rsid w:val="002E7494"/>
    <w:rsid w:val="00692BFE"/>
    <w:rsid w:val="006C42C2"/>
    <w:rsid w:val="009B407E"/>
    <w:rsid w:val="00BF5FDA"/>
    <w:rsid w:val="00C66B5A"/>
    <w:rsid w:val="00D82627"/>
    <w:rsid w:val="00F7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6C42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6C4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2022-08-26T08:12:00Z</dcterms:created>
  <dcterms:modified xsi:type="dcterms:W3CDTF">2022-08-26T08:12:00Z</dcterms:modified>
</cp:coreProperties>
</file>