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38" w:rsidRPr="00142838" w:rsidRDefault="00142838" w:rsidP="0014283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142838" w:rsidRPr="00142838" w:rsidRDefault="00142838" w:rsidP="0014283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 Совета сельского поселения Азнакаевского муниципального района Республики Татарстан</w:t>
      </w:r>
    </w:p>
    <w:p w:rsidR="00142838" w:rsidRPr="00142838" w:rsidRDefault="00142838" w:rsidP="0014283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№                             от  «    » декабря  2015 года</w:t>
      </w: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Ильбяковского сельского поселения</w:t>
      </w: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 </w:t>
      </w: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2016 год</w:t>
      </w: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838" w:rsidRPr="00142838" w:rsidRDefault="00142838" w:rsidP="0014283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Ильбяковский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 сельского поселения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142838" w:rsidRPr="00142838" w:rsidRDefault="00142838" w:rsidP="00142838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Утвердить основные характеристики бюджета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год: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сумме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2 791,1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рублей;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 общий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объем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расходов бюджета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сумме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2 791,1 тыс.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Ильбяковского сельского поселения Азнакаевского муниципального района в сумме 0,0 тыс. рублей.</w:t>
      </w:r>
    </w:p>
    <w:p w:rsidR="00142838" w:rsidRPr="00142838" w:rsidRDefault="00142838" w:rsidP="00142838">
      <w:pPr>
        <w:tabs>
          <w:tab w:val="left" w:pos="567"/>
        </w:tabs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источники финансирования дефицита бюджета Ильбяковского 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 на 2016 год согласно приложению 1 к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настоящему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142838" w:rsidRPr="00142838" w:rsidRDefault="00142838" w:rsidP="0014283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142838" w:rsidRPr="00142838" w:rsidRDefault="00142838" w:rsidP="00142838">
      <w:pPr>
        <w:tabs>
          <w:tab w:val="left" w:pos="567"/>
        </w:tabs>
        <w:spacing w:after="0" w:line="288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состоянию на 1 января 20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17 года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верхний предел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внутреннего долга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размере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тыс.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том числе верхний предел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гарантиям в размере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Установить предельный объем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долга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 в 2016 году в размере 0,0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88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autoSpaceDE w:val="0"/>
        <w:autoSpaceDN w:val="0"/>
        <w:adjustRightInd w:val="0"/>
        <w:spacing w:after="0" w:line="288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88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Учесть в бюджете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прогнозируемые объемы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доход</w:t>
      </w: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согласно приложению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настоящему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еречень главных администраторов доходов бюджета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приложению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Утвердить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еречень главных администраторов источников финансирования дефицита бюджета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приложению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к настоящему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Утвердить объем межбюджетных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трансфертов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подлежащих перечислению из бюджета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сельского поселения Азнакаевского муниципального района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бюджет Азнакаевского муниципального района на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части полномочий по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решени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вопросов местного значения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заключенными соглашениями на создание условий для организаций досуга и обеспечения жителей поселения услугами учреждений культуры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201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655,9 тыс.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твердить объем иных межбюджетных трансфертов, передаваемых из бюджета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бюджет А</w:t>
      </w: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знакае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вского муниципального района на софинансирование расходных обязательств по содержанию учреждений дошкольного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общего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образования на 201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441,4 тыс.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руб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Установить, что в 2016 году перечисление межбюджетных трансфертов в бюджет Азнакаевского муниципального района, предусмотренных настоящей статьей, осуществляется ежемесячно равными долями.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ведомственную структуру расходов бюджета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 сельского поселения 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 год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ю 5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Утвердить распределение бюджетных ассигнований по разделам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подразделам, целевым статьям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 программам и непрограммным направлениям деятельности), группам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вид</w:t>
      </w: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 классификации расходов бюджета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согласно приложени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решению.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Утвердить распределение бюджетных ассигнований по целевым статьям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 программам и непрограммным направлениям деятельности), группам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вид</w:t>
      </w: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разделам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подразделам  классификации расходов бюджета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согласно приложени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решению.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Утвердить общий объем бюджетных ассигнований на исполнение публичных нормативных обязательств на 20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рублей.</w:t>
      </w: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3"/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бюджете Ильбяковского сельского поселения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объем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дотаций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выравнивание бюджетной обеспеченности</w:t>
      </w:r>
      <w:proofErr w:type="gramStart"/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получаемых из бюджета Азнакаевского муниципального района,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в сумме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3,6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бюджете Ильбяковского сельского поселения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 объем субвенций на реализацию полномочий по государственной регистрации актов гражданского состояния получаемых из бюджета Азнакаевского муниципального района,  на 2016 год в сумме 3,1 тыс. рублей.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бюджете Ильбяковского сельского поселения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Азнакаевского муниципального района, на 2016 год в сумме 74,4 </w:t>
      </w: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00000"/>
      <w:bookmarkEnd w:id="0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Ильбяковского 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Азнакаевского муниципального района не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принимать в 201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решения, приводящие к увеличению численности муниципальных служащих и работников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учреждений.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38"/>
      <w:bookmarkEnd w:id="1"/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bookmarkEnd w:id="2"/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Азнакаевского муниципального района в соответствии с заключенными соглашениями.</w:t>
      </w: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:rsidR="00142838" w:rsidRPr="00142838" w:rsidRDefault="00142838" w:rsidP="00142838">
      <w:pPr>
        <w:spacing w:after="0" w:line="288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Установить, что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остатки средств бюджета 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Ильбяковского сельского поселения Азнакаевского муниципального района </w:t>
      </w:r>
      <w:r w:rsidRPr="00142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на 01 января 201</w:t>
      </w:r>
      <w:r w:rsidRPr="00142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года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в объеме, не превышающем сумму 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остатка 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неиспользованных бюджетных ассигнований на оплату заключенных от имени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Ильбяковского сельского поселения Азнакаевского муниципального района 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году, направляются в 201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году на увеличение соответствующих бюджетных ассигнований на указанные цели в случае принятия 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Исполнительным комитетом Ильбяковского сельского поселения Азнакаевского муниципального района </w:t>
      </w:r>
      <w:r w:rsidRPr="001428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соответствующего решения.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sub_42"/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:rsidR="00142838" w:rsidRPr="00142838" w:rsidRDefault="00142838" w:rsidP="0014283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официальном печатном издании газете «Маяк»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Pr="001428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tt-RU" w:eastAsia="ru-RU"/>
          </w:rPr>
          <w:t>http://aznaka</w:t>
        </w:r>
        <w:r w:rsidRPr="001428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</w:t>
        </w:r>
        <w:r w:rsidRPr="001428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tt-RU" w:eastAsia="ru-RU"/>
          </w:rPr>
          <w:t>evo.</w:t>
        </w:r>
        <w:proofErr w:type="spellStart"/>
        <w:r w:rsidRPr="001428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1428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tt-RU" w:eastAsia="ru-RU"/>
          </w:rPr>
          <w:t>.</w:t>
        </w:r>
        <w:proofErr w:type="spellStart"/>
        <w:r w:rsidRPr="0014283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7 дней после его подписания в установленном порядке.</w:t>
      </w:r>
    </w:p>
    <w:bookmarkEnd w:id="3"/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Настоящее 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ешение вступает в силу с 1 января 201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</w:t>
      </w:r>
    </w:p>
    <w:p w:rsidR="00142838" w:rsidRPr="00142838" w:rsidRDefault="00142838" w:rsidP="00142838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Ильбяковского Совета сельского поселения</w:t>
      </w:r>
      <w:r w:rsidRPr="001428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Азнакаевского муниципального района</w:t>
      </w: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вопросам бюджета, налогам, финансам и экономике.</w:t>
      </w: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Л.Р. </w:t>
      </w:r>
      <w:proofErr w:type="spellStart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Асадуллина</w:t>
      </w:r>
      <w:proofErr w:type="spellEnd"/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142838" w:rsidRPr="00142838" w:rsidTr="00594840">
        <w:tc>
          <w:tcPr>
            <w:tcW w:w="4359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Приложение </w:t>
            </w:r>
            <w:r w:rsidRPr="001428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к </w:t>
            </w:r>
            <w:r w:rsidRPr="0014283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42838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ешению 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Ильбяковского Совета  сельского поселения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Азнакаевского муниципального района Республики Татарстан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«О бюджете Ильбяковского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поселения Азнакаевского муниципального района Республики Татарстан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на 201</w:t>
            </w:r>
            <w:r w:rsidRPr="00142838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Pr="00142838">
              <w:rPr>
                <w:rFonts w:ascii="Times New Roman" w:eastAsia="Times New Roman" w:hAnsi="Times New Roman" w:cs="Times New Roman"/>
                <w:lang w:val="tt-RU" w:eastAsia="ru-RU"/>
              </w:rPr>
              <w:t>год»</w:t>
            </w:r>
          </w:p>
        </w:tc>
      </w:tr>
    </w:tbl>
    <w:p w:rsidR="00142838" w:rsidRPr="00142838" w:rsidRDefault="00142838" w:rsidP="0014283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Источники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финансирования дефицита бюджета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Ильбяковского сельского поселения Азнакаевского муниципального района 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Республики Татарстан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на 20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1428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год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2268"/>
      </w:tblGrid>
      <w:tr w:rsidR="00142838" w:rsidRPr="00142838" w:rsidTr="00594840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2838" w:rsidRPr="00142838" w:rsidTr="00594840">
        <w:trPr>
          <w:cantSplit/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-2 791,1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-2 791,1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-2 791,1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-2 791,1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2 791,1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2 791,1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2 791,1</w:t>
            </w:r>
          </w:p>
        </w:tc>
      </w:tr>
      <w:tr w:rsidR="00142838" w:rsidRPr="00142838" w:rsidTr="005948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838" w:rsidRPr="00142838" w:rsidRDefault="00142838" w:rsidP="00142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2 791,1</w:t>
            </w:r>
          </w:p>
        </w:tc>
      </w:tr>
    </w:tbl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P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2</w:t>
      </w:r>
    </w:p>
    <w:p w:rsidR="00142838" w:rsidRPr="00142838" w:rsidRDefault="00142838" w:rsidP="00142838">
      <w:pPr>
        <w:keepNext/>
        <w:spacing w:after="0" w:line="240" w:lineRule="auto"/>
        <w:ind w:left="424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Ильбяковского Совета  сельского поселения Азнакаевского муниципального района Республики Татарстан «О бюджете Ильбяковского сельского поселения Азнакаевского муниципального района Республики Татарстан на 2016 год»</w:t>
      </w:r>
    </w:p>
    <w:p w:rsidR="00142838" w:rsidRP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Pr="00142838" w:rsidRDefault="00142838" w:rsidP="0014283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 на 2016 год</w:t>
      </w:r>
    </w:p>
    <w:p w:rsidR="00142838" w:rsidRPr="00142838" w:rsidRDefault="00142838" w:rsidP="00142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644"/>
        <w:gridCol w:w="956"/>
      </w:tblGrid>
      <w:tr w:rsidR="00142838" w:rsidRPr="00142838" w:rsidTr="00594840">
        <w:trPr>
          <w:trHeight w:val="454"/>
          <w:tblHeader/>
        </w:trPr>
        <w:tc>
          <w:tcPr>
            <w:tcW w:w="6840" w:type="dxa"/>
            <w:shd w:val="clear" w:color="auto" w:fill="auto"/>
            <w:noWrap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2 710,0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2 644,0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2 625,0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81,1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202 01000 00 0000 151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202 01001 10 0000 151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202 03000 00 0000 151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202 03003 00 0000 151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202 03015 00 0000 151</w:t>
            </w: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454"/>
        </w:trPr>
        <w:tc>
          <w:tcPr>
            <w:tcW w:w="6840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44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shd w:val="clear" w:color="auto" w:fill="auto"/>
          </w:tcPr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2 791,1</w:t>
            </w:r>
          </w:p>
        </w:tc>
      </w:tr>
    </w:tbl>
    <w:p w:rsidR="00142838" w:rsidRPr="00142838" w:rsidRDefault="00142838" w:rsidP="00142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B33" w:rsidRDefault="00D32B33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Pr="00142838" w:rsidRDefault="00142838" w:rsidP="00142838">
      <w:pPr>
        <w:keepNext/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42838" w:rsidRPr="00142838" w:rsidRDefault="00142838" w:rsidP="00142838">
      <w:pPr>
        <w:keepNext/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Ильбяковского Совета  сельского   </w:t>
      </w:r>
    </w:p>
    <w:p w:rsidR="00142838" w:rsidRPr="00142838" w:rsidRDefault="00142838" w:rsidP="00142838">
      <w:pPr>
        <w:keepNext/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Азнакаевского муниципального района Республики Татарстан «О бюджете Ильбяковского сельского поселения Азнакаевского муниципального района Республики Татарстан на 2016 год»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главных администраторов доходов бюджета Ильбяковского сельского поселения Азнакаевского муниципального района Республики Татарстан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693"/>
        <w:gridCol w:w="6237"/>
      </w:tblGrid>
      <w:tr w:rsidR="00142838" w:rsidRPr="00142838" w:rsidTr="00594840">
        <w:trPr>
          <w:trHeight w:val="379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42838" w:rsidRPr="00142838" w:rsidTr="00594840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«Финансово – бюджетная палата Азнакаевского муниципального района»</w:t>
            </w:r>
          </w:p>
        </w:tc>
      </w:tr>
      <w:tr w:rsidR="00142838" w:rsidRPr="00142838" w:rsidTr="00594840">
        <w:trPr>
          <w:trHeight w:val="2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108 04020 01 0000 110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142838" w:rsidRPr="00142838" w:rsidTr="00594840">
        <w:trPr>
          <w:trHeight w:val="4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113 02995 10 0000 130</w:t>
            </w:r>
          </w:p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42838" w:rsidRPr="00142838" w:rsidTr="00594840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142838" w:rsidRPr="00142838" w:rsidTr="00594840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116 23051 10 0000 140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</w:t>
            </w:r>
          </w:p>
        </w:tc>
      </w:tr>
      <w:tr w:rsidR="00142838" w:rsidRPr="00142838" w:rsidTr="00594840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116 23052 10 0000 140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142838" w:rsidRPr="00142838" w:rsidTr="00594840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116 33050 10 0000 140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142838" w:rsidRPr="00142838" w:rsidTr="00594840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116 51040 02 0000 140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142838" w:rsidRPr="00142838" w:rsidTr="00594840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116 90050 10 0000 140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42838" w:rsidRPr="00142838" w:rsidTr="00594840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142838" w:rsidRPr="00142838" w:rsidTr="00594840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42838" w:rsidRPr="00142838" w:rsidTr="00594840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117 14030 10 0000 180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142838" w:rsidRPr="00142838" w:rsidTr="00594840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202 01 001 10 0000 151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 бюджетной обеспеченности  </w:t>
            </w:r>
          </w:p>
        </w:tc>
      </w:tr>
      <w:tr w:rsidR="00142838" w:rsidRPr="00142838" w:rsidTr="00594840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142838" w:rsidRPr="00142838" w:rsidRDefault="00142838" w:rsidP="00142838">
            <w:pPr>
              <w:tabs>
                <w:tab w:val="left" w:pos="1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202 01003 10 0000 151</w:t>
            </w:r>
          </w:p>
          <w:p w:rsidR="00142838" w:rsidRPr="00142838" w:rsidRDefault="00142838" w:rsidP="00142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 сельских поселений на   поддержку мер по обеспечению сбалансированности бюджетов</w:t>
            </w:r>
          </w:p>
        </w:tc>
      </w:tr>
      <w:tr w:rsidR="00142838" w:rsidRPr="00142838" w:rsidTr="00594840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202 01999 10 0000 151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202 02999 10 0000 151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202 03002 10 0000 151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 осуществление  полномочий по подготовке проведения статистических переписей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202 03003 10 0000 151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202 03007 10 0000 151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202 03015 10 0000 151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202 03999 10 0000 151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202 04012 10 0000 151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202 04999 10 0000 151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207 05030 10 0000 180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208 05000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219 05000 10 0000 151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 прошлых лет из бюджетов сельских поселений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111 05013 10 0000 120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111 05026 10 0000 120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1 11 05326 10 0000 120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113 02065 10 0000 130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42838" w:rsidRPr="00142838" w:rsidTr="005948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114 04050 10 0000 420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114 06013 10 0000 430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1 14 06033 10 0000 430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1 14 06326 10 0000 430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1 14 07030 10 0000 410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сельских поселений</w:t>
            </w:r>
          </w:p>
        </w:tc>
      </w:tr>
      <w:tr w:rsidR="00142838" w:rsidRPr="00142838" w:rsidTr="00594840">
        <w:tc>
          <w:tcPr>
            <w:tcW w:w="1384" w:type="dxa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566</w:t>
            </w:r>
          </w:p>
        </w:tc>
        <w:tc>
          <w:tcPr>
            <w:tcW w:w="2693" w:type="dxa"/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237" w:type="dxa"/>
          </w:tcPr>
          <w:p w:rsidR="00142838" w:rsidRPr="00142838" w:rsidRDefault="00142838" w:rsidP="0014283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</w:tbl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28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Pr="00142838" w:rsidRDefault="00142838" w:rsidP="00142838">
      <w:pPr>
        <w:keepNext/>
        <w:spacing w:after="0" w:line="240" w:lineRule="auto"/>
        <w:ind w:left="4820" w:right="121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142838" w:rsidRPr="00142838" w:rsidRDefault="00142838" w:rsidP="00142838">
      <w:pPr>
        <w:keepNext/>
        <w:spacing w:after="0" w:line="240" w:lineRule="auto"/>
        <w:ind w:left="4820" w:right="-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3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Ильбяковского Совета сельского поселения Азнакаевского муниципального района Республики Татарстан «О бюджете Ильбяковского сельского поселения Азнакаевского муниципального района Республики Татарстан на 2016 год»</w:t>
      </w:r>
    </w:p>
    <w:p w:rsidR="00142838" w:rsidRPr="00142838" w:rsidRDefault="00142838" w:rsidP="00142838">
      <w:pPr>
        <w:keepNext/>
        <w:spacing w:after="0" w:line="240" w:lineRule="auto"/>
        <w:ind w:right="11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keepNext/>
        <w:spacing w:after="0" w:line="240" w:lineRule="auto"/>
        <w:ind w:right="11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keepNext/>
        <w:spacing w:after="0" w:line="240" w:lineRule="auto"/>
        <w:ind w:right="11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142838" w:rsidRPr="00142838" w:rsidRDefault="00142838" w:rsidP="00142838">
      <w:pPr>
        <w:keepNext/>
        <w:spacing w:after="0" w:line="240" w:lineRule="auto"/>
        <w:ind w:right="11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источников финансирования дефицита бюджета Ильбяковского сельского поселения Азнакаевского муниципального района Республики Татарстан </w:t>
      </w:r>
    </w:p>
    <w:p w:rsidR="00142838" w:rsidRPr="00142838" w:rsidRDefault="00142838" w:rsidP="00142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4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9"/>
        <w:gridCol w:w="6"/>
        <w:gridCol w:w="2885"/>
        <w:gridCol w:w="5940"/>
      </w:tblGrid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Код  бюджетной классификации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источников финансирования дефицита бюджета </w:t>
            </w:r>
          </w:p>
        </w:tc>
        <w:tc>
          <w:tcPr>
            <w:tcW w:w="5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«Финансово – бюджетная палата Азнакаевского муниципального  района»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01 03 00 00 10 0000 710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    кредитов    от    других  бюджетов бюджетной   системы       Российской        Федерации                бюджетами сельских поселений в валюте Российской Федерации           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01 03 00 00 10 0000 810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Погашение бюджетами сельских поселений кредитов полученных от других  бюджетов бюджетной системы       Российской        Федерации в валюте Российской Федерации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01 06 04 00 10 0000 810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государственных гарантий сельских поселений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01 06 06 00 10 0000 550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иных финансовых активов в собственности сельских поселений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01 06 06 00 10 0000 650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иных финансовых активов в собственности сельских поселений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142838" w:rsidRPr="00142838" w:rsidTr="00142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01 06 01 00 10 0000 630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собственности сельских поселений</w:t>
            </w:r>
          </w:p>
        </w:tc>
      </w:tr>
    </w:tbl>
    <w:p w:rsidR="00142838" w:rsidRPr="00142838" w:rsidRDefault="00142838" w:rsidP="00142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142838" w:rsidRPr="00142838" w:rsidTr="00594840">
        <w:trPr>
          <w:cantSplit/>
          <w:trHeight w:val="1560"/>
        </w:trPr>
        <w:tc>
          <w:tcPr>
            <w:tcW w:w="4400" w:type="dxa"/>
            <w:noWrap/>
          </w:tcPr>
          <w:p w:rsidR="00142838" w:rsidRPr="00142838" w:rsidRDefault="00142838" w:rsidP="00142838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5</w:t>
            </w:r>
          </w:p>
          <w:p w:rsidR="00142838" w:rsidRPr="00142838" w:rsidRDefault="00142838" w:rsidP="00142838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Ильбяковского Совета сельского поселения Азнакаевского муниципального района Республики Татарстан «О бюджете Ильбяковского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838">
        <w:rPr>
          <w:rFonts w:ascii="Times New Roman" w:eastAsia="Times New Roman" w:hAnsi="Times New Roman" w:cs="Times New Roman"/>
          <w:sz w:val="28"/>
          <w:szCs w:val="28"/>
        </w:rPr>
        <w:t>Ведомственная структура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838">
        <w:rPr>
          <w:rFonts w:ascii="Times New Roman" w:eastAsia="Times New Roman" w:hAnsi="Times New Roman" w:cs="Times New Roman"/>
          <w:sz w:val="28"/>
          <w:szCs w:val="28"/>
        </w:rPr>
        <w:t xml:space="preserve"> расходов бюджета Ильбяковского сельского поселения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838">
        <w:rPr>
          <w:rFonts w:ascii="Times New Roman" w:eastAsia="Times New Roman" w:hAnsi="Times New Roman" w:cs="Times New Roman"/>
          <w:sz w:val="28"/>
          <w:szCs w:val="28"/>
        </w:rPr>
        <w:t xml:space="preserve">Азнакаевского муниципального района Республики Татарстан 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838">
        <w:rPr>
          <w:rFonts w:ascii="Times New Roman" w:eastAsia="Times New Roman" w:hAnsi="Times New Roman" w:cs="Times New Roman"/>
          <w:sz w:val="28"/>
          <w:szCs w:val="28"/>
        </w:rPr>
        <w:t>на 2016 год</w:t>
      </w:r>
    </w:p>
    <w:p w:rsidR="00142838" w:rsidRPr="00142838" w:rsidRDefault="00142838" w:rsidP="00142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2838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4786"/>
        <w:gridCol w:w="675"/>
        <w:gridCol w:w="567"/>
        <w:gridCol w:w="567"/>
        <w:gridCol w:w="1735"/>
        <w:gridCol w:w="709"/>
        <w:gridCol w:w="1559"/>
      </w:tblGrid>
      <w:tr w:rsidR="00142838" w:rsidRPr="00142838" w:rsidTr="00594840">
        <w:trPr>
          <w:trHeight w:val="449"/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2 791,1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1 018,6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</w:t>
            </w:r>
            <w:r w:rsidRPr="00142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</w:t>
            </w:r>
            <w:r w:rsidRPr="00142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441,4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947,1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947,1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2016 год»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2 791,1</w:t>
            </w:r>
          </w:p>
        </w:tc>
      </w:tr>
    </w:tbl>
    <w:p w:rsidR="00142838" w:rsidRPr="00142838" w:rsidRDefault="00142838" w:rsidP="00142838">
      <w:pPr>
        <w:rPr>
          <w:rFonts w:ascii="Calibri" w:eastAsia="Times New Roman" w:hAnsi="Calibri" w:cs="Times New Roman"/>
        </w:rPr>
      </w:pPr>
    </w:p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p w:rsidR="00142838" w:rsidRDefault="00142838"/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142838" w:rsidRPr="00142838" w:rsidTr="00594840">
        <w:trPr>
          <w:cantSplit/>
          <w:trHeight w:val="1560"/>
        </w:trPr>
        <w:tc>
          <w:tcPr>
            <w:tcW w:w="4510" w:type="dxa"/>
          </w:tcPr>
          <w:p w:rsidR="00142838" w:rsidRPr="00142838" w:rsidRDefault="00142838" w:rsidP="00142838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6</w:t>
            </w:r>
          </w:p>
          <w:p w:rsidR="00142838" w:rsidRPr="00142838" w:rsidRDefault="00142838" w:rsidP="00142838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Ильбяковского Совета сельского поселения </w:t>
            </w:r>
            <w:r w:rsidRPr="00142838">
              <w:rPr>
                <w:rFonts w:ascii="Times New Roman" w:eastAsia="Times New Roman" w:hAnsi="Times New Roman" w:cs="Calibri"/>
                <w:sz w:val="24"/>
                <w:szCs w:val="24"/>
              </w:rPr>
              <w:t>Азнакаевского муниципального района Республики Татарстан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бюджете Ильбяковского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ассигнований бюджета Ильбяковского сельского поселения </w:t>
      </w:r>
    </w:p>
    <w:p w:rsidR="00142838" w:rsidRPr="00142838" w:rsidRDefault="00142838" w:rsidP="0014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838">
        <w:rPr>
          <w:rFonts w:ascii="Times New Roman" w:eastAsia="Calibri" w:hAnsi="Times New Roman" w:cs="Times New Roman"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838">
        <w:rPr>
          <w:rFonts w:ascii="Times New Roman" w:eastAsia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142838">
        <w:rPr>
          <w:rFonts w:ascii="Times New Roman" w:eastAsia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142838">
        <w:rPr>
          <w:rFonts w:ascii="Times New Roman" w:eastAsia="Times New Roman" w:hAnsi="Times New Roman" w:cs="Times New Roman"/>
          <w:sz w:val="28"/>
          <w:szCs w:val="28"/>
        </w:rPr>
        <w:t xml:space="preserve"> на 2016 год</w:t>
      </w:r>
    </w:p>
    <w:p w:rsidR="00142838" w:rsidRPr="00142838" w:rsidRDefault="00142838" w:rsidP="00142838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142838">
        <w:rPr>
          <w:rFonts w:ascii="Times New Roman" w:eastAsia="Times New Roman" w:hAnsi="Times New Roman" w:cs="Calibri"/>
          <w:sz w:val="24"/>
          <w:szCs w:val="24"/>
        </w:rPr>
        <w:t>(тыс. рублей)</w:t>
      </w: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567"/>
        <w:gridCol w:w="1735"/>
        <w:gridCol w:w="709"/>
        <w:gridCol w:w="1559"/>
      </w:tblGrid>
      <w:tr w:rsidR="00142838" w:rsidRPr="00142838" w:rsidTr="00594840">
        <w:trPr>
          <w:trHeight w:val="449"/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1 018,6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</w:t>
            </w:r>
            <w:r w:rsidRPr="00142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</w:t>
            </w:r>
            <w:r w:rsidRPr="00142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441,4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947,1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947,1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муниципальном районе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2 791,1</w:t>
            </w:r>
          </w:p>
        </w:tc>
      </w:tr>
    </w:tbl>
    <w:p w:rsidR="00142838" w:rsidRDefault="00142838"/>
    <w:p w:rsidR="00142838" w:rsidRDefault="00142838"/>
    <w:p w:rsidR="00142838" w:rsidRDefault="00142838"/>
    <w:p w:rsidR="00142838" w:rsidRDefault="00142838"/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142838" w:rsidRPr="00142838" w:rsidTr="00594840">
        <w:trPr>
          <w:trHeight w:val="1560"/>
        </w:trPr>
        <w:tc>
          <w:tcPr>
            <w:tcW w:w="3969" w:type="dxa"/>
          </w:tcPr>
          <w:p w:rsidR="00142838" w:rsidRDefault="00142838" w:rsidP="00142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42838" w:rsidRDefault="00142838" w:rsidP="00142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42838" w:rsidRDefault="00142838" w:rsidP="00142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42838" w:rsidRDefault="00142838" w:rsidP="00142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42838" w:rsidRDefault="00142838" w:rsidP="00142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42838" w:rsidRDefault="00142838" w:rsidP="00142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2838">
              <w:rPr>
                <w:rFonts w:ascii="Times New Roman" w:eastAsia="Calibri" w:hAnsi="Times New Roman" w:cs="Times New Roman"/>
              </w:rPr>
              <w:lastRenderedPageBreak/>
              <w:t>Приложение 7</w:t>
            </w:r>
          </w:p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</w:rPr>
              <w:t xml:space="preserve">к решению  Ильбяковского Совета  сельского поселения </w:t>
            </w: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Азнакаевского муниципального района Республики Татарстан</w:t>
            </w:r>
            <w:r w:rsidRPr="00142838">
              <w:rPr>
                <w:rFonts w:ascii="Times New Roman" w:eastAsia="Calibri" w:hAnsi="Times New Roman" w:cs="Times New Roman"/>
              </w:rPr>
              <w:t xml:space="preserve"> «О бюджете Ильбяковского сельского  поселения Азнакаевского муниципального района Республики Татарстан  на 2016 год»</w:t>
            </w:r>
          </w:p>
        </w:tc>
      </w:tr>
    </w:tbl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838">
        <w:rPr>
          <w:rFonts w:ascii="Times New Roman" w:eastAsia="Calibri" w:hAnsi="Times New Roman" w:cs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838">
        <w:rPr>
          <w:rFonts w:ascii="Times New Roman" w:eastAsia="Calibri" w:hAnsi="Times New Roman" w:cs="Times New Roman"/>
          <w:sz w:val="24"/>
          <w:szCs w:val="24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</w:t>
      </w:r>
    </w:p>
    <w:p w:rsidR="00142838" w:rsidRPr="00142838" w:rsidRDefault="00142838" w:rsidP="001428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838">
        <w:rPr>
          <w:rFonts w:ascii="Times New Roman" w:eastAsia="Calibri" w:hAnsi="Times New Roman" w:cs="Times New Roman"/>
          <w:sz w:val="24"/>
          <w:szCs w:val="24"/>
        </w:rPr>
        <w:t>Республики Татарстан на 2016 год</w:t>
      </w:r>
    </w:p>
    <w:p w:rsidR="00142838" w:rsidRPr="00142838" w:rsidRDefault="00142838" w:rsidP="001428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2838" w:rsidRPr="00142838" w:rsidRDefault="00142838" w:rsidP="001428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2838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3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1843"/>
        <w:gridCol w:w="708"/>
        <w:gridCol w:w="500"/>
        <w:gridCol w:w="523"/>
        <w:gridCol w:w="1220"/>
      </w:tblGrid>
      <w:tr w:rsidR="00142838" w:rsidRPr="00142838" w:rsidTr="00594840">
        <w:trPr>
          <w:trHeight w:val="405"/>
          <w:tblHeader/>
        </w:trPr>
        <w:tc>
          <w:tcPr>
            <w:tcW w:w="5529" w:type="dxa"/>
            <w:vMerge w:val="restart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0" w:type="dxa"/>
            <w:vMerge w:val="restart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20" w:type="dxa"/>
            <w:vMerge w:val="restart"/>
            <w:vAlign w:val="center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42838" w:rsidRPr="00142838" w:rsidTr="00594840">
        <w:trPr>
          <w:trHeight w:val="285"/>
          <w:tblHeader/>
        </w:trPr>
        <w:tc>
          <w:tcPr>
            <w:tcW w:w="5529" w:type="dxa"/>
            <w:vMerge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2838" w:rsidRPr="00142838" w:rsidTr="00594840">
        <w:trPr>
          <w:trHeight w:val="569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2016 год»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569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569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569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142838" w:rsidRPr="00142838" w:rsidTr="00594840">
        <w:trPr>
          <w:trHeight w:val="569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142838" w:rsidRPr="00142838" w:rsidTr="00594840">
        <w:trPr>
          <w:trHeight w:val="304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142838" w:rsidRPr="00142838" w:rsidTr="00594840">
        <w:trPr>
          <w:trHeight w:val="265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142838" w:rsidRPr="00142838" w:rsidTr="00594840">
        <w:trPr>
          <w:trHeight w:val="569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</w:tr>
      <w:tr w:rsidR="00142838" w:rsidRPr="00142838" w:rsidTr="00594840">
        <w:trPr>
          <w:trHeight w:val="264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</w:tr>
      <w:tr w:rsidR="00142838" w:rsidRPr="00142838" w:rsidTr="00594840">
        <w:trPr>
          <w:trHeight w:val="267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</w:tr>
      <w:tr w:rsidR="00142838" w:rsidRPr="00142838" w:rsidTr="00594840">
        <w:trPr>
          <w:trHeight w:val="258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42838" w:rsidRPr="00142838" w:rsidTr="00594840">
        <w:trPr>
          <w:trHeight w:val="261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142838" w:rsidRPr="00142838" w:rsidTr="00594840">
        <w:trPr>
          <w:trHeight w:val="124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142838" w:rsidRPr="00142838" w:rsidTr="00594840">
        <w:trPr>
          <w:trHeight w:val="255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2 499,9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</w:tr>
      <w:tr w:rsidR="00142838" w:rsidRPr="00142838" w:rsidTr="00594840">
        <w:trPr>
          <w:trHeight w:val="343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655,9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расходных обязательств по исполнению 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99 0 00 2990 0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170,5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</w:rPr>
              <w:t>170,5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</w:tr>
      <w:tr w:rsidR="00142838" w:rsidRPr="00142838" w:rsidTr="00594840">
        <w:trPr>
          <w:trHeight w:val="246"/>
        </w:trPr>
        <w:tc>
          <w:tcPr>
            <w:tcW w:w="5529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4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42838" w:rsidRPr="00142838" w:rsidRDefault="00142838" w:rsidP="00142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28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2 791,1</w:t>
            </w:r>
          </w:p>
        </w:tc>
      </w:tr>
    </w:tbl>
    <w:p w:rsidR="00142838" w:rsidRDefault="00142838" w:rsidP="00142838"/>
    <w:sectPr w:rsidR="00142838" w:rsidSect="00FB420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37" w:right="567" w:bottom="68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142838" w:rsidP="00910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F0" w:rsidRDefault="00142838" w:rsidP="00CD0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142838" w:rsidP="00CD0076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142838" w:rsidP="00174D5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F0" w:rsidRDefault="00142838" w:rsidP="001D6FE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142838" w:rsidP="001D6FE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66"/>
    <w:rsid w:val="00142838"/>
    <w:rsid w:val="00621566"/>
    <w:rsid w:val="00D3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28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rsid w:val="0014283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142838"/>
  </w:style>
  <w:style w:type="paragraph" w:styleId="a6">
    <w:name w:val="header"/>
    <w:basedOn w:val="a"/>
    <w:link w:val="a7"/>
    <w:uiPriority w:val="99"/>
    <w:rsid w:val="001428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2838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a8">
    <w:name w:val="Знак"/>
    <w:basedOn w:val="a"/>
    <w:rsid w:val="0014283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28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rsid w:val="0014283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142838"/>
  </w:style>
  <w:style w:type="paragraph" w:styleId="a6">
    <w:name w:val="header"/>
    <w:basedOn w:val="a"/>
    <w:link w:val="a7"/>
    <w:uiPriority w:val="99"/>
    <w:rsid w:val="001428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2838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a8">
    <w:name w:val="Знак"/>
    <w:basedOn w:val="a"/>
    <w:rsid w:val="0014283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aznakayevo.tatarst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6140</Words>
  <Characters>34999</Characters>
  <Application>Microsoft Office Word</Application>
  <DocSecurity>0</DocSecurity>
  <Lines>291</Lines>
  <Paragraphs>82</Paragraphs>
  <ScaleCrop>false</ScaleCrop>
  <Company/>
  <LinksUpToDate>false</LinksUpToDate>
  <CharactersWithSpaces>41057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2015-12-12T07:41:00Z</dcterms:created>
  <dcterms:modified xsi:type="dcterms:W3CDTF">2015-12-12T07:49:00Z</dcterms:modified>
</cp:coreProperties>
</file>