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0B" w:rsidRPr="00CC230B" w:rsidRDefault="00CC230B" w:rsidP="00CC230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Питание для селезенки</w:t>
      </w:r>
    </w:p>
    <w:p w:rsidR="00CC230B" w:rsidRPr="00CC230B" w:rsidRDefault="00CC230B" w:rsidP="00CC230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Селезёнка </w:t>
      </w: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– удлиненный непарный орган, расположенный в левой верхней части брюшной полости, сзади от желудка. Несмотря на то, что селезенка не принадлежит к числу жизненно важных органов, ее присутствие крайне важно для человеческого организма. Это связанно с тем, что она выполняет иммунную, фильтрационную и кроветворную функции. Кроме того, селезенка принимает активное участие в обмене веществ. Ее ближайшими соседями являются: диафрагма, поджелудочная железа, толстая кишка и левая почка. Благодаря способности селезенки к депонированию крови, в нашем организме всегда существует некий запас, который выбрасывается в общее русло при первой же необходимости. Кроме того, на селезенку возложен 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контроль за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качеством циркулирующей в организме крови. Здесь утилизируются старые, поврежденные, а также измененные элементы крови. Также, селезенка принимает активное участие в кроветворении.</w:t>
      </w:r>
    </w:p>
    <w:p w:rsidR="00CC230B" w:rsidRPr="00CC230B" w:rsidRDefault="00CC230B" w:rsidP="00CC230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Полезные продукты для селезенки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Орехи. Содержат минералы и микроэлементы, способные активизировать кроветворные функции селезенки.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Жирная рыба. Благодаря содержащимся в рыбе таурину и жирным кислотам, происходит нормализация АД.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Капуста. 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Богата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фолиевой кислотой, отвечающей за синтез новых клеток крови. Благодаря витамину 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укрепляются стенки сосудов. Также в ней имеется витамин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К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ответственный за свертываемость крови.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Печень. Является источником железа, нехватка которого может привести к понижению уровня гемоглобина и малокровия. Также, в печени содержится гепарин. Именно он является профилактикой тромбозов и инфарктов миокарда.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Цитрусовые. Содержат витамин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С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который отвечает за усвоение железа. Кроме того витамин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А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вместе с органическими кислотами и клетчаткой, борется с повышенным сахаром в крови, а также снижает уровень холестерина.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Яблоки. Благодаря содержащемуся в них пектину, регулируют уровень сахара, который отрицательно сказывается на здоровье селезенки.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Авокадо. Способно связывать избыточный холестерин, который может закупорить кроветворные канальцы селезенки.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Свекла. Натуральное кроветворное средство. Стимулирует деятельности селезенки. Укрепляет стенки сосудов. Желательно употреблять совместно с морковью, капустой или томатом.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Мед. Благодаря меду происходит нормализация функции селезенки, ответственной за производство форменных элементов крови.</w:t>
      </w:r>
    </w:p>
    <w:p w:rsidR="00CC230B" w:rsidRPr="00CC230B" w:rsidRDefault="00CC230B" w:rsidP="00CC230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Гранат. Активизирует кроветворную функцию селезенки. Общие рекомендации</w:t>
      </w:r>
      <w:proofErr w:type="gramStart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Д</w:t>
      </w:r>
      <w:proofErr w:type="gramEnd"/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ля полноценного функционирования селезенки медики рекомендуют избегать стрессовых ситуаций или учиться правильно реагировать на стресс. Регулярное питание небольшими порциями сохранит здоровье этого органа. Питание должно быть полноценным, не реже четырех – пяти раз в день. Очень полезны продукты богатые железом. Для обеспечения здоровья селезенки, требуется чаще бывать на свежем воздухе. Хорошим вариантом может стать берег моря или сосновый бор.</w:t>
      </w:r>
    </w:p>
    <w:p w:rsidR="00CC230B" w:rsidRPr="00CC230B" w:rsidRDefault="00CC230B" w:rsidP="00CC230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Вредные продукты для селезенки</w:t>
      </w:r>
    </w:p>
    <w:p w:rsidR="00CC230B" w:rsidRPr="00CC230B" w:rsidRDefault="00CC230B" w:rsidP="00CC230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Жиры. Употребление большого количества жиров, может привести к блокировке кальция, который необходим при синтезе новых эритроцитов.</w:t>
      </w:r>
    </w:p>
    <w:p w:rsidR="00CC230B" w:rsidRPr="00CC230B" w:rsidRDefault="00CC230B" w:rsidP="00CC230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Жареное. Вещества, содержащиеся в жареных продуктах, вызывают изменения в составе крови. В результате этого селезенке приходится работать в авральном режиме, очищая кровь от аномальных клеток.</w:t>
      </w:r>
    </w:p>
    <w:p w:rsidR="00CC230B" w:rsidRPr="00CC230B" w:rsidRDefault="00CC230B" w:rsidP="00CC230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Алкоголь. Из-за алкоголя, клетки крови подвергаются деструкции и обезвоживанию. Кроме того, алкоголь тормозит работу селезенки, препятствуя выработке новых эритроцитов.</w:t>
      </w:r>
    </w:p>
    <w:p w:rsidR="00CC230B" w:rsidRPr="00CC230B" w:rsidRDefault="00CC230B" w:rsidP="00CC230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Консерванты. В результате их употребления образуются трудно-растворимые соединения, которые могут тампонировать сосуды селезенки, вызывая ее ишемию.</w:t>
      </w:r>
    </w:p>
    <w:p w:rsidR="00CC230B" w:rsidRPr="00CC230B" w:rsidRDefault="00CC230B" w:rsidP="00CC230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Берегите себя и свое здоровье!</w:t>
      </w:r>
    </w:p>
    <w:p w:rsidR="00CC230B" w:rsidRPr="00CC230B" w:rsidRDefault="00CC230B" w:rsidP="00CC230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C230B">
        <w:rPr>
          <w:rFonts w:ascii="Verdana" w:eastAsia="Times New Roman" w:hAnsi="Verdana" w:cs="Times New Roman"/>
          <w:b/>
          <w:bCs/>
          <w:noProof/>
          <w:color w:val="4F4F4F"/>
          <w:sz w:val="21"/>
          <w:szCs w:val="21"/>
          <w:lang w:eastAsia="ru-RU"/>
        </w:rPr>
        <w:drawing>
          <wp:inline distT="0" distB="0" distL="0" distR="0" wp14:anchorId="714AA591" wp14:editId="57BE8F54">
            <wp:extent cx="4762500" cy="3219450"/>
            <wp:effectExtent l="0" t="0" r="0" b="0"/>
            <wp:docPr id="1" name="Рисунок 1" descr="https://16.rospotrebnadzor.ru/image/image_gallery?uuid=6238af19-6792-406b-894a-cd890812c282&amp;groupId=10156&amp;t=169900395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rospotrebnadzor.ru/image/image_gallery?uuid=6238af19-6792-406b-894a-cd890812c282&amp;groupId=10156&amp;t=1699003951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0B" w:rsidRDefault="00CC230B" w:rsidP="00CC230B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</w:pPr>
    </w:p>
    <w:p w:rsidR="00CC230B" w:rsidRDefault="00CC230B" w:rsidP="00CC230B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</w:pPr>
    </w:p>
    <w:p w:rsidR="00CC230B" w:rsidRDefault="00CC230B" w:rsidP="00CC230B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</w:pPr>
    </w:p>
    <w:p w:rsidR="00CC230B" w:rsidRPr="00CC230B" w:rsidRDefault="00CC230B" w:rsidP="00CC230B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</w:pPr>
      <w:bookmarkStart w:id="0" w:name="_GoBack"/>
      <w:bookmarkEnd w:id="0"/>
      <w:r w:rsidRPr="00CC230B"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  <w:t xml:space="preserve">Источник: Управление </w:t>
      </w:r>
      <w:proofErr w:type="spellStart"/>
      <w:r w:rsidRPr="00CC230B"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  <w:t>Роспотребнадзора</w:t>
      </w:r>
      <w:proofErr w:type="spellEnd"/>
      <w:r w:rsidRPr="00CC230B">
        <w:rPr>
          <w:rFonts w:ascii="Verdana" w:eastAsia="Times New Roman" w:hAnsi="Verdana" w:cs="Times New Roman"/>
          <w:b/>
          <w:i/>
          <w:color w:val="4F4F4F"/>
          <w:sz w:val="21"/>
          <w:szCs w:val="21"/>
          <w:u w:val="single"/>
          <w:lang w:eastAsia="ru-RU"/>
        </w:rPr>
        <w:t xml:space="preserve"> по РТ</w:t>
      </w:r>
    </w:p>
    <w:p w:rsidR="00B77342" w:rsidRPr="00CC230B" w:rsidRDefault="00B77342">
      <w:pPr>
        <w:rPr>
          <w:b/>
          <w:i/>
          <w:u w:val="single"/>
        </w:rPr>
      </w:pPr>
    </w:p>
    <w:sectPr w:rsidR="00B77342" w:rsidRPr="00CC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0228"/>
    <w:multiLevelType w:val="multilevel"/>
    <w:tmpl w:val="D4BC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0B172D"/>
    <w:multiLevelType w:val="multilevel"/>
    <w:tmpl w:val="79A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47"/>
    <w:rsid w:val="00B77342"/>
    <w:rsid w:val="00CC230B"/>
    <w:rsid w:val="00D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2023-11-07T07:45:00Z</dcterms:created>
  <dcterms:modified xsi:type="dcterms:W3CDTF">2023-11-07T07:46:00Z</dcterms:modified>
</cp:coreProperties>
</file>