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227" w:rsidRPr="00941A10" w:rsidRDefault="000B5227" w:rsidP="00941A10">
      <w:pPr>
        <w:pStyle w:val="aa"/>
        <w:jc w:val="center"/>
        <w:rPr>
          <w:b/>
          <w:szCs w:val="28"/>
        </w:rPr>
      </w:pPr>
      <w:r w:rsidRPr="00941A10">
        <w:rPr>
          <w:b/>
          <w:szCs w:val="28"/>
        </w:rPr>
        <w:t xml:space="preserve">РАСЧЕТ </w:t>
      </w:r>
    </w:p>
    <w:p w:rsidR="000B5227" w:rsidRPr="00941A10" w:rsidRDefault="000B5227" w:rsidP="00941A1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1A10">
        <w:rPr>
          <w:rFonts w:ascii="Times New Roman" w:hAnsi="Times New Roman" w:cs="Times New Roman"/>
          <w:sz w:val="28"/>
          <w:szCs w:val="28"/>
        </w:rPr>
        <w:t xml:space="preserve">объема субвенций бюджетам </w:t>
      </w:r>
      <w:r w:rsidRPr="00C56D73">
        <w:rPr>
          <w:rFonts w:ascii="Times New Roman" w:hAnsi="Times New Roman" w:cs="Times New Roman"/>
          <w:sz w:val="28"/>
          <w:szCs w:val="28"/>
        </w:rPr>
        <w:t>муниципальных образований из бюджета Республики Татарстан для осуществления государственных полномочий Республики Татарстан</w:t>
      </w:r>
      <w:r w:rsidRPr="00C56D73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E30FB2" w:rsidRPr="00C56D73">
        <w:rPr>
          <w:rFonts w:ascii="Times New Roman" w:hAnsi="Times New Roman" w:cs="Times New Roman"/>
          <w:bCs w:val="0"/>
          <w:sz w:val="28"/>
          <w:szCs w:val="28"/>
        </w:rPr>
        <w:t>по организации</w:t>
      </w:r>
      <w:r w:rsidR="00E30FB2" w:rsidRPr="00E30FB2">
        <w:rPr>
          <w:rFonts w:ascii="Times New Roman" w:hAnsi="Times New Roman" w:cs="Times New Roman"/>
          <w:bCs w:val="0"/>
          <w:sz w:val="28"/>
          <w:szCs w:val="28"/>
        </w:rPr>
        <w:t xml:space="preserve"> и осуществлению мероприятий по оказанию помощи лицам, находящимся в состоянии алкогольного, наркотического или иного токсического опьянения</w:t>
      </w:r>
      <w:r w:rsidR="00AC6647" w:rsidRPr="00941A10">
        <w:rPr>
          <w:rFonts w:ascii="Times New Roman" w:hAnsi="Times New Roman" w:cs="Times New Roman"/>
          <w:sz w:val="28"/>
          <w:szCs w:val="28"/>
        </w:rPr>
        <w:t>,</w:t>
      </w:r>
    </w:p>
    <w:p w:rsidR="000B5227" w:rsidRPr="00941A10" w:rsidRDefault="000B5227" w:rsidP="00941A10">
      <w:pPr>
        <w:pStyle w:val="aa"/>
        <w:jc w:val="center"/>
        <w:rPr>
          <w:b/>
          <w:szCs w:val="28"/>
        </w:rPr>
      </w:pPr>
      <w:r w:rsidRPr="00941A10">
        <w:rPr>
          <w:b/>
          <w:szCs w:val="28"/>
        </w:rPr>
        <w:t>на 202</w:t>
      </w:r>
      <w:r w:rsidR="00180F8D">
        <w:rPr>
          <w:b/>
          <w:szCs w:val="28"/>
        </w:rPr>
        <w:t>4</w:t>
      </w:r>
      <w:r w:rsidRPr="00941A10">
        <w:rPr>
          <w:b/>
          <w:szCs w:val="28"/>
        </w:rPr>
        <w:t xml:space="preserve"> год и на плановый период 202</w:t>
      </w:r>
      <w:r w:rsidR="00180F8D">
        <w:rPr>
          <w:b/>
          <w:szCs w:val="28"/>
        </w:rPr>
        <w:t>5</w:t>
      </w:r>
      <w:r w:rsidRPr="00941A10">
        <w:rPr>
          <w:b/>
          <w:szCs w:val="28"/>
        </w:rPr>
        <w:t xml:space="preserve"> и 202</w:t>
      </w:r>
      <w:r w:rsidR="00180F8D">
        <w:rPr>
          <w:b/>
          <w:szCs w:val="28"/>
        </w:rPr>
        <w:t>6</w:t>
      </w:r>
      <w:r w:rsidRPr="00941A10">
        <w:rPr>
          <w:b/>
          <w:szCs w:val="28"/>
        </w:rPr>
        <w:t xml:space="preserve"> годов </w:t>
      </w:r>
    </w:p>
    <w:p w:rsidR="000B5227" w:rsidRPr="00941A10" w:rsidRDefault="000B5227" w:rsidP="00941A1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B5227" w:rsidRPr="00941A10" w:rsidRDefault="000B5227" w:rsidP="00941A1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20360" w:rsidRPr="00941A10" w:rsidRDefault="00B20360" w:rsidP="00941A10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41A1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Расчет </w:t>
      </w:r>
      <w:r w:rsidR="0048640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объема </w:t>
      </w:r>
      <w:r w:rsidRPr="00941A1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субвенций, предоставляемых бюджетам муниципальных районов и городских округов на реализацию государственных полномочий </w:t>
      </w:r>
      <w:r w:rsidR="00E30FB2" w:rsidRPr="00E30FB2">
        <w:rPr>
          <w:rFonts w:ascii="Times New Roman" w:hAnsi="Times New Roman" w:cs="Times New Roman"/>
          <w:b w:val="0"/>
          <w:bCs w:val="0"/>
          <w:sz w:val="28"/>
          <w:szCs w:val="28"/>
        </w:rPr>
        <w:t>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</w:t>
      </w:r>
      <w:r w:rsidRPr="00941A10">
        <w:rPr>
          <w:rFonts w:ascii="Times New Roman" w:hAnsi="Times New Roman" w:cs="Times New Roman"/>
          <w:sz w:val="28"/>
          <w:szCs w:val="28"/>
        </w:rPr>
        <w:t xml:space="preserve">, </w:t>
      </w:r>
      <w:r w:rsidRPr="00941A10">
        <w:rPr>
          <w:rFonts w:ascii="Times New Roman" w:hAnsi="Times New Roman" w:cs="Times New Roman"/>
          <w:b w:val="0"/>
          <w:bCs w:val="0"/>
          <w:sz w:val="28"/>
          <w:szCs w:val="28"/>
        </w:rPr>
        <w:t>произведен в соответствии с методикой расчета субвенций.</w:t>
      </w:r>
    </w:p>
    <w:p w:rsidR="00B20360" w:rsidRPr="00941A10" w:rsidRDefault="00B20360" w:rsidP="00941A10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/>
          <w:szCs w:val="28"/>
        </w:rPr>
      </w:pPr>
      <w:r w:rsidRPr="00941A10">
        <w:rPr>
          <w:rFonts w:ascii="Times New Roman" w:eastAsia="Times New Roman" w:hAnsi="Times New Roman"/>
          <w:szCs w:val="28"/>
        </w:rPr>
        <w:t>Общий объем субвенций, предоставляемых бюджетам муниципальных образований для осуществления государственных полномочий (</w:t>
      </w:r>
      <w:proofErr w:type="spellStart"/>
      <w:r w:rsidRPr="00941A10">
        <w:rPr>
          <w:rFonts w:ascii="Times New Roman" w:eastAsia="Times New Roman" w:hAnsi="Times New Roman"/>
          <w:szCs w:val="28"/>
        </w:rPr>
        <w:t>V</w:t>
      </w:r>
      <w:r w:rsidRPr="00941A10">
        <w:rPr>
          <w:rFonts w:ascii="Times New Roman" w:eastAsia="Times New Roman" w:hAnsi="Times New Roman"/>
          <w:szCs w:val="28"/>
          <w:vertAlign w:val="subscript"/>
        </w:rPr>
        <w:t>sb</w:t>
      </w:r>
      <w:proofErr w:type="spellEnd"/>
      <w:r w:rsidRPr="00941A10">
        <w:rPr>
          <w:rFonts w:ascii="Times New Roman" w:eastAsia="Times New Roman" w:hAnsi="Times New Roman"/>
          <w:szCs w:val="28"/>
          <w:vertAlign w:val="subscript"/>
        </w:rPr>
        <w:t xml:space="preserve"> </w:t>
      </w:r>
      <w:proofErr w:type="spellStart"/>
      <w:r w:rsidRPr="00941A10">
        <w:rPr>
          <w:rFonts w:ascii="Times New Roman" w:eastAsia="Times New Roman" w:hAnsi="Times New Roman"/>
          <w:szCs w:val="28"/>
          <w:vertAlign w:val="subscript"/>
        </w:rPr>
        <w:t>svod</w:t>
      </w:r>
      <w:proofErr w:type="spellEnd"/>
      <w:r w:rsidRPr="00941A10">
        <w:rPr>
          <w:rFonts w:ascii="Times New Roman" w:eastAsia="Times New Roman" w:hAnsi="Times New Roman"/>
          <w:szCs w:val="28"/>
        </w:rPr>
        <w:t>), определяется по формуле:</w:t>
      </w:r>
    </w:p>
    <w:p w:rsidR="00B20360" w:rsidRPr="00941A10" w:rsidRDefault="00B20360" w:rsidP="00941A10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/>
          <w:szCs w:val="28"/>
        </w:rPr>
      </w:pPr>
      <w:r w:rsidRPr="00941A10">
        <w:rPr>
          <w:rFonts w:ascii="Times New Roman" w:eastAsia="Times New Roman" w:hAnsi="Times New Roman"/>
          <w:noProof/>
          <w:position w:val="-33"/>
          <w:szCs w:val="28"/>
          <w:lang w:eastAsia="ru-RU"/>
        </w:rPr>
        <w:drawing>
          <wp:inline distT="0" distB="0" distL="0" distR="0">
            <wp:extent cx="1584325" cy="59563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360" w:rsidRPr="00941A10" w:rsidRDefault="00B20360" w:rsidP="00941A10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/>
          <w:szCs w:val="28"/>
        </w:rPr>
      </w:pPr>
      <w:r w:rsidRPr="00941A10">
        <w:rPr>
          <w:rFonts w:ascii="Times New Roman" w:eastAsia="Times New Roman" w:hAnsi="Times New Roman"/>
          <w:szCs w:val="28"/>
        </w:rPr>
        <w:t>где:</w:t>
      </w:r>
    </w:p>
    <w:p w:rsidR="00B20360" w:rsidRPr="00941A10" w:rsidRDefault="00B20360" w:rsidP="00941A10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/>
          <w:szCs w:val="28"/>
        </w:rPr>
      </w:pPr>
      <w:proofErr w:type="spellStart"/>
      <w:r w:rsidRPr="00941A10">
        <w:rPr>
          <w:rFonts w:ascii="Times New Roman" w:eastAsia="Times New Roman" w:hAnsi="Times New Roman"/>
          <w:szCs w:val="28"/>
        </w:rPr>
        <w:t>V</w:t>
      </w:r>
      <w:r w:rsidRPr="00941A10">
        <w:rPr>
          <w:rFonts w:ascii="Times New Roman" w:eastAsia="Times New Roman" w:hAnsi="Times New Roman"/>
          <w:szCs w:val="28"/>
          <w:vertAlign w:val="subscript"/>
        </w:rPr>
        <w:t>sd</w:t>
      </w:r>
      <w:proofErr w:type="spellEnd"/>
      <w:r w:rsidRPr="00941A10">
        <w:rPr>
          <w:rFonts w:ascii="Times New Roman" w:eastAsia="Times New Roman" w:hAnsi="Times New Roman"/>
          <w:szCs w:val="28"/>
          <w:vertAlign w:val="subscript"/>
        </w:rPr>
        <w:t xml:space="preserve"> </w:t>
      </w:r>
      <w:proofErr w:type="spellStart"/>
      <w:r w:rsidRPr="00941A10">
        <w:rPr>
          <w:rFonts w:ascii="Times New Roman" w:eastAsia="Times New Roman" w:hAnsi="Times New Roman"/>
          <w:szCs w:val="28"/>
          <w:vertAlign w:val="subscript"/>
        </w:rPr>
        <w:t>rn</w:t>
      </w:r>
      <w:proofErr w:type="spellEnd"/>
      <w:r w:rsidRPr="00941A10">
        <w:rPr>
          <w:rFonts w:ascii="Times New Roman" w:eastAsia="Times New Roman" w:hAnsi="Times New Roman"/>
          <w:szCs w:val="28"/>
        </w:rPr>
        <w:t xml:space="preserve"> - объем субвенций муниципальному образованию для осуществления государственных полномочий;</w:t>
      </w:r>
    </w:p>
    <w:p w:rsidR="00B20360" w:rsidRPr="00941A10" w:rsidRDefault="00B20360" w:rsidP="00941A10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/>
          <w:szCs w:val="28"/>
        </w:rPr>
      </w:pPr>
      <w:proofErr w:type="spellStart"/>
      <w:r w:rsidRPr="00941A10">
        <w:rPr>
          <w:rFonts w:ascii="Times New Roman" w:eastAsia="Times New Roman" w:hAnsi="Times New Roman"/>
          <w:szCs w:val="28"/>
        </w:rPr>
        <w:t>n</w:t>
      </w:r>
      <w:proofErr w:type="spellEnd"/>
      <w:r w:rsidRPr="00941A10">
        <w:rPr>
          <w:rFonts w:ascii="Times New Roman" w:eastAsia="Times New Roman" w:hAnsi="Times New Roman"/>
          <w:szCs w:val="28"/>
        </w:rPr>
        <w:t xml:space="preserve"> - число муниципальных образований, наделенных государственными полномочиями.</w:t>
      </w:r>
    </w:p>
    <w:p w:rsidR="00B20360" w:rsidRPr="00941A10" w:rsidRDefault="00B20360" w:rsidP="00941A10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/>
          <w:szCs w:val="28"/>
        </w:rPr>
      </w:pPr>
      <w:r w:rsidRPr="00941A10">
        <w:rPr>
          <w:rFonts w:ascii="Times New Roman" w:eastAsia="Times New Roman" w:hAnsi="Times New Roman"/>
          <w:szCs w:val="28"/>
        </w:rPr>
        <w:t xml:space="preserve">Объем субвенций, предоставляемых </w:t>
      </w:r>
      <w:proofErr w:type="spellStart"/>
      <w:r w:rsidRPr="00941A10">
        <w:rPr>
          <w:rFonts w:ascii="Times New Roman" w:eastAsia="Times New Roman" w:hAnsi="Times New Roman"/>
          <w:szCs w:val="28"/>
        </w:rPr>
        <w:t>i-му</w:t>
      </w:r>
      <w:proofErr w:type="spellEnd"/>
      <w:r w:rsidRPr="00941A10">
        <w:rPr>
          <w:rFonts w:ascii="Times New Roman" w:eastAsia="Times New Roman" w:hAnsi="Times New Roman"/>
          <w:szCs w:val="28"/>
        </w:rPr>
        <w:t xml:space="preserve"> муниципальному образованию из бюджета Республики Татарстан для осуществления органами местного самоуправления государственных полномочий, рассчитывается по формуле:</w:t>
      </w:r>
    </w:p>
    <w:p w:rsidR="00B20360" w:rsidRPr="00941A10" w:rsidRDefault="00B20360" w:rsidP="00941A10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eastAsia="Times New Roman" w:hAnsi="Times New Roman"/>
          <w:szCs w:val="28"/>
        </w:rPr>
      </w:pPr>
    </w:p>
    <w:p w:rsidR="00B20360" w:rsidRPr="00941A10" w:rsidRDefault="00B20360" w:rsidP="00941A10">
      <w:pPr>
        <w:widowControl w:val="0"/>
        <w:autoSpaceDE w:val="0"/>
        <w:autoSpaceDN w:val="0"/>
        <w:spacing w:line="240" w:lineRule="auto"/>
        <w:ind w:firstLine="567"/>
        <w:jc w:val="center"/>
        <w:rPr>
          <w:rFonts w:ascii="Times New Roman" w:hAnsi="Times New Roman"/>
          <w:szCs w:val="28"/>
          <w:lang w:val="en-US"/>
        </w:rPr>
      </w:pPr>
      <w:proofErr w:type="gramStart"/>
      <w:r w:rsidRPr="00941A10">
        <w:rPr>
          <w:rFonts w:ascii="Times New Roman" w:hAnsi="Times New Roman"/>
          <w:szCs w:val="28"/>
          <w:lang w:val="en-US"/>
        </w:rPr>
        <w:t>V</w:t>
      </w:r>
      <w:r w:rsidRPr="00941A10">
        <w:rPr>
          <w:rFonts w:ascii="Times New Roman" w:hAnsi="Times New Roman"/>
          <w:szCs w:val="28"/>
          <w:vertAlign w:val="superscript"/>
          <w:lang w:val="en-US"/>
        </w:rPr>
        <w:t>i</w:t>
      </w:r>
      <w:proofErr w:type="gramEnd"/>
      <w:r w:rsidRPr="00941A10">
        <w:rPr>
          <w:rFonts w:ascii="Times New Roman" w:hAnsi="Times New Roman"/>
          <w:szCs w:val="28"/>
          <w:lang w:val="en-US"/>
        </w:rPr>
        <w:t xml:space="preserve"> </w:t>
      </w:r>
      <w:proofErr w:type="spellStart"/>
      <w:r w:rsidRPr="00941A10">
        <w:rPr>
          <w:rFonts w:ascii="Times New Roman" w:hAnsi="Times New Roman"/>
          <w:szCs w:val="28"/>
          <w:vertAlign w:val="subscript"/>
          <w:lang w:val="en-US"/>
        </w:rPr>
        <w:t>sd</w:t>
      </w:r>
      <w:proofErr w:type="spellEnd"/>
      <w:r w:rsidRPr="00941A10">
        <w:rPr>
          <w:rFonts w:ascii="Times New Roman" w:hAnsi="Times New Roman"/>
          <w:szCs w:val="28"/>
          <w:vertAlign w:val="subscript"/>
          <w:lang w:val="en-US"/>
        </w:rPr>
        <w:t xml:space="preserve"> </w:t>
      </w:r>
      <w:proofErr w:type="spellStart"/>
      <w:r w:rsidRPr="00941A10">
        <w:rPr>
          <w:rFonts w:ascii="Times New Roman" w:hAnsi="Times New Roman"/>
          <w:szCs w:val="28"/>
          <w:vertAlign w:val="subscript"/>
          <w:lang w:val="en-US"/>
        </w:rPr>
        <w:t>rn</w:t>
      </w:r>
      <w:proofErr w:type="spellEnd"/>
      <w:r w:rsidRPr="00941A10">
        <w:rPr>
          <w:rFonts w:ascii="Times New Roman" w:hAnsi="Times New Roman"/>
          <w:szCs w:val="28"/>
          <w:lang w:val="en-US"/>
        </w:rPr>
        <w:t xml:space="preserve"> = </w:t>
      </w:r>
      <w:proofErr w:type="spellStart"/>
      <w:r w:rsidRPr="00941A10">
        <w:rPr>
          <w:rFonts w:ascii="Times New Roman" w:hAnsi="Times New Roman"/>
          <w:szCs w:val="28"/>
          <w:lang w:val="en-US"/>
        </w:rPr>
        <w:t>Ns</w:t>
      </w:r>
      <w:r w:rsidRPr="00941A10">
        <w:rPr>
          <w:rFonts w:ascii="Times New Roman" w:hAnsi="Times New Roman"/>
          <w:szCs w:val="28"/>
          <w:vertAlign w:val="subscript"/>
          <w:lang w:val="en-US"/>
        </w:rPr>
        <w:t>f</w:t>
      </w:r>
      <w:proofErr w:type="spellEnd"/>
      <w:r w:rsidRPr="00941A10">
        <w:rPr>
          <w:rFonts w:ascii="Times New Roman" w:hAnsi="Times New Roman"/>
          <w:szCs w:val="28"/>
          <w:lang w:val="en-US"/>
        </w:rPr>
        <w:t xml:space="preserve"> x </w:t>
      </w:r>
      <w:proofErr w:type="spellStart"/>
      <w:r w:rsidRPr="00941A10">
        <w:rPr>
          <w:rFonts w:ascii="Times New Roman" w:hAnsi="Times New Roman"/>
          <w:szCs w:val="28"/>
          <w:lang w:val="en-US"/>
        </w:rPr>
        <w:t>K</w:t>
      </w:r>
      <w:r w:rsidRPr="00941A10">
        <w:rPr>
          <w:rFonts w:ascii="Times New Roman" w:hAnsi="Times New Roman"/>
          <w:szCs w:val="28"/>
          <w:vertAlign w:val="superscript"/>
          <w:lang w:val="en-US"/>
        </w:rPr>
        <w:t>i</w:t>
      </w:r>
      <w:proofErr w:type="spellEnd"/>
      <w:r w:rsidRPr="00941A10">
        <w:rPr>
          <w:rFonts w:ascii="Times New Roman" w:hAnsi="Times New Roman"/>
          <w:szCs w:val="28"/>
          <w:lang w:val="en-US"/>
        </w:rPr>
        <w:t xml:space="preserve"> x </w:t>
      </w:r>
      <w:proofErr w:type="spellStart"/>
      <w:r w:rsidRPr="00941A10">
        <w:rPr>
          <w:rFonts w:ascii="Times New Roman" w:hAnsi="Times New Roman"/>
          <w:szCs w:val="28"/>
          <w:lang w:val="en-US"/>
        </w:rPr>
        <w:t>q</w:t>
      </w:r>
      <w:r w:rsidRPr="00941A10">
        <w:rPr>
          <w:rFonts w:ascii="Times New Roman" w:hAnsi="Times New Roman"/>
          <w:szCs w:val="28"/>
          <w:vertAlign w:val="superscript"/>
          <w:lang w:val="en-US"/>
        </w:rPr>
        <w:t>i</w:t>
      </w:r>
      <w:proofErr w:type="spellEnd"/>
      <w:r w:rsidRPr="00941A10">
        <w:rPr>
          <w:rFonts w:ascii="Times New Roman" w:hAnsi="Times New Roman"/>
          <w:szCs w:val="28"/>
          <w:lang w:val="en-US"/>
        </w:rPr>
        <w:t xml:space="preserve"> x p,</w:t>
      </w:r>
    </w:p>
    <w:p w:rsidR="00B20360" w:rsidRPr="00941A10" w:rsidRDefault="00B20360" w:rsidP="00941A10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/>
          <w:szCs w:val="28"/>
        </w:rPr>
      </w:pPr>
      <w:r w:rsidRPr="00941A10">
        <w:rPr>
          <w:rFonts w:ascii="Times New Roman" w:eastAsia="Times New Roman" w:hAnsi="Times New Roman"/>
          <w:szCs w:val="28"/>
        </w:rPr>
        <w:t>где:</w:t>
      </w:r>
    </w:p>
    <w:p w:rsidR="00B20360" w:rsidRPr="00941A10" w:rsidRDefault="00B20360" w:rsidP="00941A10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/>
          <w:szCs w:val="28"/>
        </w:rPr>
      </w:pPr>
      <w:proofErr w:type="spellStart"/>
      <w:r w:rsidRPr="00941A10">
        <w:rPr>
          <w:rFonts w:ascii="Times New Roman" w:eastAsia="Times New Roman" w:hAnsi="Times New Roman"/>
          <w:szCs w:val="28"/>
        </w:rPr>
        <w:t>Ns</w:t>
      </w:r>
      <w:r w:rsidRPr="00941A10">
        <w:rPr>
          <w:rFonts w:ascii="Times New Roman" w:eastAsia="Times New Roman" w:hAnsi="Times New Roman"/>
          <w:szCs w:val="28"/>
          <w:vertAlign w:val="subscript"/>
        </w:rPr>
        <w:t>f</w:t>
      </w:r>
      <w:proofErr w:type="spellEnd"/>
      <w:r w:rsidRPr="00941A10">
        <w:rPr>
          <w:rFonts w:ascii="Times New Roman" w:eastAsia="Times New Roman" w:hAnsi="Times New Roman"/>
          <w:szCs w:val="28"/>
        </w:rPr>
        <w:t xml:space="preserve"> - норматив стоимости оказания услуги, рублей на койко-день;</w:t>
      </w:r>
    </w:p>
    <w:p w:rsidR="00B20360" w:rsidRPr="00941A10" w:rsidRDefault="00B20360" w:rsidP="00941A10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/>
          <w:szCs w:val="28"/>
        </w:rPr>
      </w:pPr>
      <w:proofErr w:type="spellStart"/>
      <w:r w:rsidRPr="00941A10">
        <w:rPr>
          <w:rFonts w:ascii="Times New Roman" w:eastAsia="Times New Roman" w:hAnsi="Times New Roman"/>
          <w:szCs w:val="28"/>
        </w:rPr>
        <w:t>К</w:t>
      </w:r>
      <w:proofErr w:type="gramStart"/>
      <w:r w:rsidRPr="00941A10">
        <w:rPr>
          <w:rFonts w:ascii="Times New Roman" w:eastAsia="Times New Roman" w:hAnsi="Times New Roman"/>
          <w:szCs w:val="28"/>
          <w:vertAlign w:val="superscript"/>
        </w:rPr>
        <w:t>i</w:t>
      </w:r>
      <w:proofErr w:type="spellEnd"/>
      <w:proofErr w:type="gramEnd"/>
      <w:r w:rsidRPr="00941A10">
        <w:rPr>
          <w:rFonts w:ascii="Times New Roman" w:eastAsia="Times New Roman" w:hAnsi="Times New Roman"/>
          <w:szCs w:val="28"/>
        </w:rPr>
        <w:t xml:space="preserve"> - корректирующий (поправочный) коэффициент i-го муниципального образования, учитывающий различия в инфраструктурной обеспеченности и иные факторы, влияющие на значение норматива стоимости оказания услуги, устанавливаемый Кабинетом Министров Республики Татарстан;</w:t>
      </w:r>
    </w:p>
    <w:p w:rsidR="00B20360" w:rsidRPr="00941A10" w:rsidRDefault="00B20360" w:rsidP="00941A10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/>
          <w:szCs w:val="28"/>
        </w:rPr>
      </w:pPr>
      <w:proofErr w:type="spellStart"/>
      <w:r w:rsidRPr="00941A10">
        <w:rPr>
          <w:rFonts w:ascii="Times New Roman" w:eastAsia="Times New Roman" w:hAnsi="Times New Roman"/>
          <w:szCs w:val="28"/>
        </w:rPr>
        <w:t>q</w:t>
      </w:r>
      <w:r w:rsidRPr="00941A10">
        <w:rPr>
          <w:rFonts w:ascii="Times New Roman" w:eastAsia="Times New Roman" w:hAnsi="Times New Roman"/>
          <w:szCs w:val="28"/>
          <w:vertAlign w:val="superscript"/>
        </w:rPr>
        <w:t>i</w:t>
      </w:r>
      <w:proofErr w:type="spellEnd"/>
      <w:r w:rsidRPr="00941A10">
        <w:rPr>
          <w:rFonts w:ascii="Times New Roman" w:eastAsia="Times New Roman" w:hAnsi="Times New Roman"/>
          <w:szCs w:val="28"/>
        </w:rPr>
        <w:t xml:space="preserve"> - количество коек в специализированной организации i-го муниципального образования;</w:t>
      </w:r>
    </w:p>
    <w:p w:rsidR="00B20360" w:rsidRPr="00941A10" w:rsidRDefault="00B20360" w:rsidP="00941A10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/>
          <w:szCs w:val="28"/>
        </w:rPr>
      </w:pPr>
      <w:proofErr w:type="spellStart"/>
      <w:r w:rsidRPr="00941A10">
        <w:rPr>
          <w:rFonts w:ascii="Times New Roman" w:eastAsia="Times New Roman" w:hAnsi="Times New Roman"/>
          <w:szCs w:val="28"/>
        </w:rPr>
        <w:t>p</w:t>
      </w:r>
      <w:proofErr w:type="spellEnd"/>
      <w:r w:rsidRPr="00941A10">
        <w:rPr>
          <w:rFonts w:ascii="Times New Roman" w:eastAsia="Times New Roman" w:hAnsi="Times New Roman"/>
          <w:szCs w:val="28"/>
        </w:rPr>
        <w:t xml:space="preserve"> - число дней в году.</w:t>
      </w:r>
    </w:p>
    <w:p w:rsidR="00B20360" w:rsidRPr="00941A10" w:rsidRDefault="00B20360" w:rsidP="00941A10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eastAsia="Times New Roman" w:hAnsi="Times New Roman"/>
          <w:szCs w:val="28"/>
        </w:rPr>
      </w:pPr>
    </w:p>
    <w:p w:rsidR="00331613" w:rsidRPr="00331613" w:rsidRDefault="00331613" w:rsidP="00331613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3161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Объемы субвенций </w:t>
      </w:r>
      <w:r w:rsidR="00C210BD" w:rsidRPr="00C210BD">
        <w:rPr>
          <w:rFonts w:ascii="Times New Roman" w:hAnsi="Times New Roman" w:cs="Times New Roman"/>
          <w:b w:val="0"/>
          <w:bCs w:val="0"/>
          <w:sz w:val="28"/>
          <w:szCs w:val="28"/>
        </w:rPr>
        <w:t>Азнакаевскому муниципальному району Республики Татарстан</w:t>
      </w:r>
      <w:r w:rsidR="00C210BD" w:rsidRPr="00941A10">
        <w:rPr>
          <w:szCs w:val="28"/>
        </w:rPr>
        <w:t xml:space="preserve"> </w:t>
      </w:r>
      <w:r w:rsidRPr="00331613">
        <w:rPr>
          <w:rFonts w:ascii="Times New Roman" w:hAnsi="Times New Roman" w:cs="Times New Roman"/>
          <w:b w:val="0"/>
          <w:bCs w:val="0"/>
          <w:sz w:val="28"/>
          <w:szCs w:val="28"/>
        </w:rPr>
        <w:t>на 202</w:t>
      </w:r>
      <w:r w:rsidR="00180F8D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33161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– 202</w:t>
      </w:r>
      <w:r w:rsidR="00180F8D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Pr="0033161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годы определены в следующих размерах:</w:t>
      </w:r>
    </w:p>
    <w:p w:rsidR="00C210BD" w:rsidRDefault="00C210BD" w:rsidP="00331613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_GoBack"/>
      <w:bookmarkEnd w:id="0"/>
    </w:p>
    <w:p w:rsidR="00331613" w:rsidRPr="00331613" w:rsidRDefault="00331613" w:rsidP="00331613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3161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2024 год – </w:t>
      </w:r>
      <w:r w:rsidR="00C210BD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180F8D">
        <w:rPr>
          <w:rFonts w:ascii="Times New Roman" w:hAnsi="Times New Roman" w:cs="Times New Roman"/>
          <w:b w:val="0"/>
          <w:bCs w:val="0"/>
          <w:sz w:val="28"/>
          <w:szCs w:val="28"/>
        </w:rPr>
        <w:t> 715,7</w:t>
      </w:r>
      <w:r w:rsidRPr="0033161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тыс. рублей;</w:t>
      </w:r>
    </w:p>
    <w:p w:rsidR="00331613" w:rsidRDefault="00331613" w:rsidP="00331613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3161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2025 год – </w:t>
      </w:r>
      <w:r w:rsidR="00C210BD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180F8D">
        <w:rPr>
          <w:rFonts w:ascii="Times New Roman" w:hAnsi="Times New Roman" w:cs="Times New Roman"/>
          <w:b w:val="0"/>
          <w:bCs w:val="0"/>
          <w:sz w:val="28"/>
          <w:szCs w:val="28"/>
        </w:rPr>
        <w:t> 848,2 тыс. рублей;</w:t>
      </w:r>
    </w:p>
    <w:p w:rsidR="00180F8D" w:rsidRPr="00331613" w:rsidRDefault="00180F8D" w:rsidP="00180F8D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31613">
        <w:rPr>
          <w:rFonts w:ascii="Times New Roman" w:hAnsi="Times New Roman" w:cs="Times New Roman"/>
          <w:b w:val="0"/>
          <w:bCs w:val="0"/>
          <w:sz w:val="28"/>
          <w:szCs w:val="28"/>
        </w:rPr>
        <w:t>202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Pr="0033161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4 986,6 тыс. рублей.</w:t>
      </w:r>
    </w:p>
    <w:sectPr w:rsidR="00180F8D" w:rsidRPr="00331613" w:rsidSect="004F1292">
      <w:headerReference w:type="default" r:id="rId8"/>
      <w:pgSz w:w="11906" w:h="16838"/>
      <w:pgMar w:top="1021" w:right="907" w:bottom="102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B55" w:rsidRDefault="0065186E">
      <w:pPr>
        <w:spacing w:line="240" w:lineRule="auto"/>
      </w:pPr>
      <w:r>
        <w:separator/>
      </w:r>
    </w:p>
  </w:endnote>
  <w:endnote w:type="continuationSeparator" w:id="0">
    <w:p w:rsidR="007E1B55" w:rsidRDefault="0065186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B55" w:rsidRDefault="0065186E">
      <w:pPr>
        <w:spacing w:line="240" w:lineRule="auto"/>
      </w:pPr>
      <w:r>
        <w:separator/>
      </w:r>
    </w:p>
  </w:footnote>
  <w:footnote w:type="continuationSeparator" w:id="0">
    <w:p w:rsidR="007E1B55" w:rsidRDefault="0065186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E34" w:rsidRPr="001D36E1" w:rsidRDefault="009A3BE8" w:rsidP="001D36E1">
    <w:pPr>
      <w:pStyle w:val="a6"/>
      <w:ind w:firstLine="0"/>
      <w:jc w:val="center"/>
      <w:rPr>
        <w:sz w:val="24"/>
        <w:szCs w:val="24"/>
      </w:rPr>
    </w:pPr>
    <w:r w:rsidRPr="001D36E1">
      <w:rPr>
        <w:sz w:val="24"/>
        <w:szCs w:val="24"/>
      </w:rPr>
      <w:fldChar w:fldCharType="begin"/>
    </w:r>
    <w:r w:rsidR="007F5B48" w:rsidRPr="001D36E1">
      <w:rPr>
        <w:sz w:val="24"/>
        <w:szCs w:val="24"/>
      </w:rPr>
      <w:instrText xml:space="preserve"> PAGE   \* MERGEFORMAT </w:instrText>
    </w:r>
    <w:r w:rsidRPr="001D36E1">
      <w:rPr>
        <w:sz w:val="24"/>
        <w:szCs w:val="24"/>
      </w:rPr>
      <w:fldChar w:fldCharType="separate"/>
    </w:r>
    <w:r w:rsidR="00180F8D">
      <w:rPr>
        <w:noProof/>
        <w:sz w:val="24"/>
        <w:szCs w:val="24"/>
      </w:rPr>
      <w:t>2</w:t>
    </w:r>
    <w:r w:rsidRPr="001D36E1"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5B48"/>
    <w:rsid w:val="000A29E1"/>
    <w:rsid w:val="000B5227"/>
    <w:rsid w:val="000B7CEC"/>
    <w:rsid w:val="000E701B"/>
    <w:rsid w:val="00180F8D"/>
    <w:rsid w:val="00233598"/>
    <w:rsid w:val="00241271"/>
    <w:rsid w:val="00331613"/>
    <w:rsid w:val="00354050"/>
    <w:rsid w:val="003B0746"/>
    <w:rsid w:val="0048640F"/>
    <w:rsid w:val="004D24B7"/>
    <w:rsid w:val="004E44DF"/>
    <w:rsid w:val="004F1292"/>
    <w:rsid w:val="0050302A"/>
    <w:rsid w:val="00540BEA"/>
    <w:rsid w:val="005660A8"/>
    <w:rsid w:val="00592AC3"/>
    <w:rsid w:val="005C6F3F"/>
    <w:rsid w:val="0065186E"/>
    <w:rsid w:val="006A38B9"/>
    <w:rsid w:val="006C35D6"/>
    <w:rsid w:val="0070429B"/>
    <w:rsid w:val="00741F1F"/>
    <w:rsid w:val="00774F4B"/>
    <w:rsid w:val="007E1B55"/>
    <w:rsid w:val="007F4F60"/>
    <w:rsid w:val="007F5B48"/>
    <w:rsid w:val="008C049E"/>
    <w:rsid w:val="00926C6F"/>
    <w:rsid w:val="00941A10"/>
    <w:rsid w:val="009A3BE8"/>
    <w:rsid w:val="00AC6647"/>
    <w:rsid w:val="00B20360"/>
    <w:rsid w:val="00BA3CF5"/>
    <w:rsid w:val="00BF2DAA"/>
    <w:rsid w:val="00C210BD"/>
    <w:rsid w:val="00C56D73"/>
    <w:rsid w:val="00D336FA"/>
    <w:rsid w:val="00DA60C9"/>
    <w:rsid w:val="00E30FB2"/>
    <w:rsid w:val="00E733A4"/>
    <w:rsid w:val="00E76E12"/>
    <w:rsid w:val="00ED4DC3"/>
    <w:rsid w:val="00F30156"/>
    <w:rsid w:val="00F728DE"/>
    <w:rsid w:val="00F822E7"/>
    <w:rsid w:val="00FB4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B48"/>
    <w:pPr>
      <w:spacing w:line="288" w:lineRule="auto"/>
      <w:ind w:firstLine="709"/>
    </w:pPr>
    <w:rPr>
      <w:rFonts w:ascii="SL_Times New Roman" w:eastAsia="Calibri" w:hAnsi="SL_Times New Roman"/>
      <w:sz w:val="28"/>
      <w:szCs w:val="22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 w:line="240" w:lineRule="auto"/>
      <w:ind w:firstLine="0"/>
      <w:outlineLvl w:val="0"/>
    </w:pPr>
    <w:rPr>
      <w:rFonts w:ascii="Cambria" w:eastAsia="Times New Roman" w:hAnsi="Cambria"/>
      <w:b/>
      <w:bCs/>
      <w:kern w:val="32"/>
      <w:sz w:val="32"/>
      <w:szCs w:val="32"/>
      <w:lang w:val="tt-RU" w:eastAsia="ru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 w:line="240" w:lineRule="auto"/>
      <w:ind w:firstLine="0"/>
      <w:outlineLvl w:val="1"/>
    </w:pPr>
    <w:rPr>
      <w:rFonts w:ascii="Cambria" w:eastAsia="Times New Roman" w:hAnsi="Cambria"/>
      <w:b/>
      <w:bCs/>
      <w:i/>
      <w:iCs/>
      <w:szCs w:val="28"/>
      <w:lang w:val="tt-RU" w:eastAsia="ru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 w:line="240" w:lineRule="auto"/>
      <w:ind w:firstLine="0"/>
      <w:outlineLvl w:val="2"/>
    </w:pPr>
    <w:rPr>
      <w:rFonts w:ascii="Cambria" w:eastAsia="Times New Roman" w:hAnsi="Cambria"/>
      <w:b/>
      <w:bCs/>
      <w:sz w:val="26"/>
      <w:szCs w:val="26"/>
      <w:lang w:val="tt-RU" w:eastAsia="ru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 w:line="240" w:lineRule="auto"/>
      <w:ind w:firstLine="0"/>
      <w:outlineLvl w:val="3"/>
    </w:pPr>
    <w:rPr>
      <w:rFonts w:ascii="Calibri" w:eastAsia="Times New Roman" w:hAnsi="Calibri"/>
      <w:b/>
      <w:bCs/>
      <w:szCs w:val="28"/>
      <w:lang w:val="tt-RU" w:eastAsia="ru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 w:line="240" w:lineRule="auto"/>
      <w:ind w:firstLine="0"/>
      <w:outlineLvl w:val="4"/>
    </w:pPr>
    <w:rPr>
      <w:rFonts w:ascii="Calibri" w:eastAsia="Times New Roman" w:hAnsi="Calibri"/>
      <w:b/>
      <w:bCs/>
      <w:i/>
      <w:iCs/>
      <w:sz w:val="26"/>
      <w:szCs w:val="26"/>
      <w:lang w:val="tt-RU" w:eastAsia="ru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 w:line="240" w:lineRule="auto"/>
      <w:ind w:firstLine="0"/>
      <w:outlineLvl w:val="5"/>
    </w:pPr>
    <w:rPr>
      <w:rFonts w:ascii="Calibri" w:eastAsia="Times New Roman" w:hAnsi="Calibri"/>
      <w:b/>
      <w:bCs/>
      <w:sz w:val="22"/>
      <w:lang w:val="tt-RU" w:eastAsia="ru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 w:line="240" w:lineRule="auto"/>
      <w:ind w:firstLine="0"/>
      <w:outlineLvl w:val="6"/>
    </w:pPr>
    <w:rPr>
      <w:rFonts w:ascii="Calibri" w:eastAsia="Times New Roman" w:hAnsi="Calibri"/>
      <w:sz w:val="24"/>
      <w:szCs w:val="24"/>
      <w:lang w:val="tt-RU" w:eastAsia="ru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 w:line="240" w:lineRule="auto"/>
      <w:ind w:firstLine="0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 w:line="240" w:lineRule="auto"/>
      <w:ind w:firstLine="0"/>
      <w:outlineLvl w:val="8"/>
    </w:pPr>
    <w:rPr>
      <w:rFonts w:ascii="Cambria" w:eastAsia="Times New Roman" w:hAnsi="Cambria"/>
      <w:sz w:val="22"/>
      <w:lang w:val="tt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 w:line="240" w:lineRule="auto"/>
      <w:ind w:firstLine="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tt-RU" w:eastAsia="ru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spacing w:line="240" w:lineRule="auto"/>
      <w:ind w:left="720" w:firstLine="0"/>
      <w:contextualSpacing/>
    </w:pPr>
    <w:rPr>
      <w:rFonts w:ascii="Times New Roman" w:eastAsia="Times New Roman" w:hAnsi="Times New Roman"/>
      <w:sz w:val="24"/>
      <w:szCs w:val="24"/>
      <w:lang w:val="tt-RU" w:eastAsia="ru-RU"/>
    </w:rPr>
  </w:style>
  <w:style w:type="paragraph" w:styleId="a6">
    <w:name w:val="header"/>
    <w:basedOn w:val="a"/>
    <w:link w:val="a7"/>
    <w:uiPriority w:val="99"/>
    <w:unhideWhenUsed/>
    <w:rsid w:val="007F5B4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F5B48"/>
    <w:rPr>
      <w:rFonts w:ascii="SL_Times New Roman" w:eastAsia="Calibri" w:hAnsi="SL_Times New Roman"/>
      <w:sz w:val="28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592AC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2AC3"/>
    <w:rPr>
      <w:rFonts w:ascii="Tahoma" w:eastAsia="Calibri" w:hAnsi="Tahoma" w:cs="Tahoma"/>
      <w:sz w:val="16"/>
      <w:szCs w:val="16"/>
    </w:rPr>
  </w:style>
  <w:style w:type="paragraph" w:styleId="aa">
    <w:name w:val="Body Text"/>
    <w:basedOn w:val="a"/>
    <w:link w:val="ab"/>
    <w:rsid w:val="0050302A"/>
    <w:pPr>
      <w:spacing w:line="240" w:lineRule="auto"/>
      <w:ind w:firstLine="0"/>
    </w:pPr>
    <w:rPr>
      <w:rFonts w:ascii="Times New Roman" w:eastAsia="Times New Roman" w:hAnsi="Times New Roman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50302A"/>
    <w:rPr>
      <w:sz w:val="28"/>
      <w:szCs w:val="24"/>
      <w:lang w:eastAsia="ru-RU"/>
    </w:rPr>
  </w:style>
  <w:style w:type="table" w:styleId="ac">
    <w:name w:val="Table Grid"/>
    <w:basedOn w:val="a1"/>
    <w:uiPriority w:val="59"/>
    <w:rsid w:val="0050302A"/>
    <w:rPr>
      <w:rFonts w:ascii="Calibri" w:eastAsia="Calibri" w:hAnsi="Calibri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0302A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PlusNormal">
    <w:name w:val="ConsPlusNormal"/>
    <w:rsid w:val="000B522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8B89B-6BFE-4D0A-98C4-424FEB7A9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azna-nafikova</cp:lastModifiedBy>
  <cp:revision>22</cp:revision>
  <cp:lastPrinted>2016-09-27T07:09:00Z</cp:lastPrinted>
  <dcterms:created xsi:type="dcterms:W3CDTF">2020-09-12T12:27:00Z</dcterms:created>
  <dcterms:modified xsi:type="dcterms:W3CDTF">2023-10-20T08:16:00Z</dcterms:modified>
</cp:coreProperties>
</file>