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726" w:rsidRPr="00741DED" w:rsidRDefault="00685726" w:rsidP="002D1004">
      <w:pPr>
        <w:pStyle w:val="a4"/>
        <w:spacing w:line="240" w:lineRule="auto"/>
        <w:outlineLvl w:val="0"/>
        <w:rPr>
          <w:sz w:val="28"/>
          <w:szCs w:val="28"/>
        </w:rPr>
      </w:pPr>
      <w:r w:rsidRPr="00741DED">
        <w:rPr>
          <w:sz w:val="28"/>
          <w:szCs w:val="28"/>
        </w:rPr>
        <w:t>Пояснительная записка</w:t>
      </w:r>
    </w:p>
    <w:p w:rsidR="00685726" w:rsidRPr="00741DED" w:rsidRDefault="00685726" w:rsidP="002D1004">
      <w:pPr>
        <w:spacing w:line="240" w:lineRule="auto"/>
        <w:jc w:val="center"/>
        <w:rPr>
          <w:b/>
          <w:sz w:val="28"/>
          <w:szCs w:val="28"/>
        </w:rPr>
      </w:pPr>
      <w:r w:rsidRPr="00741DED">
        <w:rPr>
          <w:b/>
          <w:sz w:val="28"/>
          <w:szCs w:val="28"/>
        </w:rPr>
        <w:t xml:space="preserve">к прогнозу социально-экономического развития Азнакаевского муниципального района на </w:t>
      </w:r>
      <w:r>
        <w:rPr>
          <w:b/>
          <w:sz w:val="28"/>
          <w:szCs w:val="28"/>
        </w:rPr>
        <w:t>202</w:t>
      </w:r>
      <w:r w:rsidR="0007743E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-202</w:t>
      </w:r>
      <w:r w:rsidR="0007743E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</w:t>
      </w:r>
      <w:r w:rsidRPr="00741DED">
        <w:rPr>
          <w:b/>
          <w:sz w:val="28"/>
          <w:szCs w:val="28"/>
        </w:rPr>
        <w:t xml:space="preserve">годы </w:t>
      </w:r>
    </w:p>
    <w:p w:rsidR="00685726" w:rsidRPr="00741DED" w:rsidRDefault="00685726" w:rsidP="002D1004">
      <w:pPr>
        <w:spacing w:line="240" w:lineRule="auto"/>
        <w:ind w:firstLine="709"/>
        <w:jc w:val="center"/>
        <w:rPr>
          <w:b/>
          <w:sz w:val="28"/>
          <w:szCs w:val="28"/>
        </w:rPr>
      </w:pPr>
    </w:p>
    <w:p w:rsidR="00685726" w:rsidRDefault="00685726" w:rsidP="002D1004">
      <w:pPr>
        <w:spacing w:line="240" w:lineRule="auto"/>
        <w:ind w:firstLine="709"/>
        <w:rPr>
          <w:sz w:val="28"/>
          <w:szCs w:val="28"/>
        </w:rPr>
      </w:pPr>
      <w:r w:rsidRPr="00741DED">
        <w:rPr>
          <w:sz w:val="28"/>
          <w:szCs w:val="28"/>
        </w:rPr>
        <w:t>Прогноз социально-экономического развития Азнакаевского</w:t>
      </w:r>
      <w:r>
        <w:rPr>
          <w:sz w:val="28"/>
          <w:szCs w:val="28"/>
        </w:rPr>
        <w:t xml:space="preserve"> муниципального</w:t>
      </w:r>
      <w:r w:rsidRPr="00741DED">
        <w:rPr>
          <w:sz w:val="28"/>
          <w:szCs w:val="28"/>
        </w:rPr>
        <w:t xml:space="preserve"> района на </w:t>
      </w:r>
      <w:r w:rsidR="0007743E">
        <w:rPr>
          <w:sz w:val="28"/>
          <w:szCs w:val="28"/>
        </w:rPr>
        <w:t>2024-2026</w:t>
      </w:r>
      <w:r w:rsidRPr="00741DED">
        <w:rPr>
          <w:sz w:val="28"/>
          <w:szCs w:val="28"/>
        </w:rPr>
        <w:t xml:space="preserve"> годы разработан в соответствии </w:t>
      </w:r>
      <w:proofErr w:type="gramStart"/>
      <w:r w:rsidRPr="00741DED"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</w:t>
      </w:r>
      <w:r w:rsidR="0007743E" w:rsidRPr="0007743E">
        <w:rPr>
          <w:sz w:val="28"/>
          <w:szCs w:val="28"/>
        </w:rPr>
        <w:t>Сценарны</w:t>
      </w:r>
      <w:r w:rsidR="0007743E">
        <w:rPr>
          <w:sz w:val="28"/>
          <w:szCs w:val="28"/>
        </w:rPr>
        <w:t>ми</w:t>
      </w:r>
      <w:r w:rsidR="0007743E" w:rsidRPr="0007743E">
        <w:rPr>
          <w:sz w:val="28"/>
          <w:szCs w:val="28"/>
        </w:rPr>
        <w:t xml:space="preserve"> условия</w:t>
      </w:r>
      <w:r w:rsidR="0007743E">
        <w:rPr>
          <w:sz w:val="28"/>
          <w:szCs w:val="28"/>
        </w:rPr>
        <w:t>ми</w:t>
      </w:r>
      <w:r w:rsidR="0007743E" w:rsidRPr="0007743E">
        <w:rPr>
          <w:sz w:val="28"/>
          <w:szCs w:val="28"/>
        </w:rPr>
        <w:t xml:space="preserve"> функционирования экономики</w:t>
      </w:r>
      <w:r w:rsidR="0007743E">
        <w:rPr>
          <w:sz w:val="28"/>
          <w:szCs w:val="28"/>
        </w:rPr>
        <w:t xml:space="preserve"> Российской Федерации и основными параметрами </w:t>
      </w:r>
      <w:r w:rsidR="0007743E" w:rsidRPr="0007743E">
        <w:rPr>
          <w:sz w:val="28"/>
          <w:szCs w:val="28"/>
        </w:rPr>
        <w:t>прогноза</w:t>
      </w:r>
      <w:r w:rsidR="0007743E">
        <w:rPr>
          <w:sz w:val="28"/>
          <w:szCs w:val="28"/>
        </w:rPr>
        <w:t xml:space="preserve"> </w:t>
      </w:r>
      <w:r w:rsidR="0007743E" w:rsidRPr="0007743E">
        <w:rPr>
          <w:sz w:val="28"/>
          <w:szCs w:val="28"/>
        </w:rPr>
        <w:t>социально-экономического развития Российской</w:t>
      </w:r>
      <w:r w:rsidR="0007743E">
        <w:rPr>
          <w:sz w:val="28"/>
          <w:szCs w:val="28"/>
        </w:rPr>
        <w:t xml:space="preserve"> </w:t>
      </w:r>
      <w:r w:rsidR="0007743E" w:rsidRPr="0007743E">
        <w:rPr>
          <w:sz w:val="28"/>
          <w:szCs w:val="28"/>
        </w:rPr>
        <w:t>Федерации на 2024 год и на плановый период 2025 и 2026</w:t>
      </w:r>
      <w:r w:rsidR="0007743E">
        <w:rPr>
          <w:sz w:val="28"/>
          <w:szCs w:val="28"/>
        </w:rPr>
        <w:t xml:space="preserve"> </w:t>
      </w:r>
      <w:r w:rsidR="0007743E" w:rsidRPr="0007743E">
        <w:rPr>
          <w:sz w:val="28"/>
          <w:szCs w:val="28"/>
        </w:rPr>
        <w:t>годов</w:t>
      </w:r>
      <w:r w:rsidR="00A02B3A">
        <w:rPr>
          <w:sz w:val="28"/>
          <w:szCs w:val="28"/>
        </w:rPr>
        <w:t xml:space="preserve">, с учетом </w:t>
      </w:r>
      <w:r>
        <w:rPr>
          <w:sz w:val="28"/>
          <w:szCs w:val="28"/>
        </w:rPr>
        <w:t>прогноза финансово-хозяйственной деятельности основных предприятий, осуществляющих деятельность на территории района, текущей ситуации</w:t>
      </w:r>
      <w:r w:rsidR="00E97B1A">
        <w:rPr>
          <w:sz w:val="28"/>
          <w:szCs w:val="28"/>
        </w:rPr>
        <w:t xml:space="preserve"> в экономике</w:t>
      </w:r>
      <w:r>
        <w:rPr>
          <w:sz w:val="28"/>
          <w:szCs w:val="28"/>
        </w:rPr>
        <w:t>.</w:t>
      </w:r>
    </w:p>
    <w:p w:rsidR="00E71A7F" w:rsidRDefault="00E71A7F" w:rsidP="002D1004">
      <w:p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Экономику района формируе</w:t>
      </w:r>
      <w:r w:rsidR="004074BD">
        <w:rPr>
          <w:sz w:val="28"/>
          <w:szCs w:val="28"/>
        </w:rPr>
        <w:t>т</w:t>
      </w:r>
      <w:r w:rsidR="00471055">
        <w:rPr>
          <w:sz w:val="28"/>
          <w:szCs w:val="28"/>
        </w:rPr>
        <w:t xml:space="preserve"> </w:t>
      </w:r>
      <w:r>
        <w:rPr>
          <w:sz w:val="28"/>
          <w:szCs w:val="28"/>
        </w:rPr>
        <w:t>промышленность</w:t>
      </w:r>
      <w:r w:rsidR="004074BD">
        <w:rPr>
          <w:sz w:val="28"/>
          <w:szCs w:val="28"/>
        </w:rPr>
        <w:t xml:space="preserve"> </w:t>
      </w:r>
      <w:r w:rsidR="004074BD" w:rsidRPr="004074BD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д</w:t>
      </w:r>
      <w:r w:rsidR="00E26FF0">
        <w:rPr>
          <w:i/>
          <w:sz w:val="28"/>
          <w:szCs w:val="28"/>
        </w:rPr>
        <w:t xml:space="preserve">оля в ВТП района 67-70%), </w:t>
      </w:r>
      <w:r w:rsidR="00E26FF0">
        <w:rPr>
          <w:sz w:val="28"/>
          <w:szCs w:val="28"/>
        </w:rPr>
        <w:t xml:space="preserve">стратегически важной отраслью является агропромышленный комплекс </w:t>
      </w:r>
      <w:r w:rsidR="00E26FF0" w:rsidRPr="004074BD">
        <w:rPr>
          <w:i/>
          <w:sz w:val="28"/>
          <w:szCs w:val="28"/>
        </w:rPr>
        <w:t>(7,5-8,4% -доля в ВТП)</w:t>
      </w:r>
      <w:r w:rsidR="00E26FF0">
        <w:rPr>
          <w:sz w:val="28"/>
          <w:szCs w:val="28"/>
        </w:rPr>
        <w:t>, транспортный комплекс, строительная и иные отрасли</w:t>
      </w:r>
      <w:r w:rsidR="00471055" w:rsidRPr="004074BD">
        <w:rPr>
          <w:i/>
          <w:sz w:val="28"/>
          <w:szCs w:val="28"/>
        </w:rPr>
        <w:t>.</w:t>
      </w:r>
      <w:r w:rsidR="00471055">
        <w:rPr>
          <w:sz w:val="28"/>
          <w:szCs w:val="28"/>
        </w:rPr>
        <w:t xml:space="preserve"> </w:t>
      </w:r>
      <w:r>
        <w:rPr>
          <w:sz w:val="28"/>
          <w:szCs w:val="28"/>
        </w:rPr>
        <w:t>Основу промышленного сектора представляют предприятия нефтедобывающей отрасли. 8</w:t>
      </w:r>
      <w:r w:rsidR="008E3D92">
        <w:rPr>
          <w:sz w:val="28"/>
          <w:szCs w:val="28"/>
        </w:rPr>
        <w:t xml:space="preserve">2% </w:t>
      </w:r>
      <w:r w:rsidR="00471055">
        <w:rPr>
          <w:sz w:val="28"/>
          <w:szCs w:val="28"/>
        </w:rPr>
        <w:t xml:space="preserve">объема </w:t>
      </w:r>
      <w:r w:rsidR="008E3D92">
        <w:rPr>
          <w:sz w:val="28"/>
          <w:szCs w:val="28"/>
        </w:rPr>
        <w:t>произведенной промышленной продукции</w:t>
      </w:r>
      <w:r w:rsidR="00471055">
        <w:rPr>
          <w:sz w:val="28"/>
          <w:szCs w:val="28"/>
        </w:rPr>
        <w:t>, в общем объеме промышленной продукции</w:t>
      </w:r>
      <w:r w:rsidR="00E26FF0">
        <w:rPr>
          <w:sz w:val="28"/>
          <w:szCs w:val="28"/>
        </w:rPr>
        <w:t xml:space="preserve"> района</w:t>
      </w:r>
      <w:r w:rsidR="00471055">
        <w:rPr>
          <w:sz w:val="28"/>
          <w:szCs w:val="28"/>
        </w:rPr>
        <w:t>,</w:t>
      </w:r>
      <w:r w:rsidR="008E3D92">
        <w:rPr>
          <w:sz w:val="28"/>
          <w:szCs w:val="28"/>
        </w:rPr>
        <w:t xml:space="preserve"> приходится на структурные подразделения ПАО «Татнефть»</w:t>
      </w:r>
      <w:r w:rsidR="00E26FF0">
        <w:rPr>
          <w:sz w:val="28"/>
          <w:szCs w:val="28"/>
        </w:rPr>
        <w:t xml:space="preserve"> и добычу нефти, 15,7</w:t>
      </w:r>
      <w:r w:rsidR="00471055">
        <w:rPr>
          <w:sz w:val="28"/>
          <w:szCs w:val="28"/>
        </w:rPr>
        <w:t>%</w:t>
      </w:r>
      <w:r w:rsidR="00E26FF0">
        <w:rPr>
          <w:sz w:val="28"/>
          <w:szCs w:val="28"/>
        </w:rPr>
        <w:t xml:space="preserve"> </w:t>
      </w:r>
      <w:r w:rsidR="00471055">
        <w:rPr>
          <w:sz w:val="28"/>
          <w:szCs w:val="28"/>
        </w:rPr>
        <w:t>- доля</w:t>
      </w:r>
      <w:r w:rsidR="0007743E">
        <w:rPr>
          <w:sz w:val="28"/>
          <w:szCs w:val="28"/>
        </w:rPr>
        <w:t xml:space="preserve"> </w:t>
      </w:r>
      <w:r w:rsidR="00471055">
        <w:rPr>
          <w:sz w:val="28"/>
          <w:szCs w:val="28"/>
        </w:rPr>
        <w:t>сервисных и обслуживающих компаний. Социально-значимыми являются предприятия машиностроения (АО «Азнакаевский завод «</w:t>
      </w:r>
      <w:proofErr w:type="spellStart"/>
      <w:r w:rsidR="00471055">
        <w:rPr>
          <w:sz w:val="28"/>
          <w:szCs w:val="28"/>
        </w:rPr>
        <w:t>Нефтемаш</w:t>
      </w:r>
      <w:proofErr w:type="spellEnd"/>
      <w:r w:rsidR="00471055">
        <w:rPr>
          <w:sz w:val="28"/>
          <w:szCs w:val="28"/>
        </w:rPr>
        <w:t>»</w:t>
      </w:r>
      <w:r w:rsidR="006968C9">
        <w:rPr>
          <w:sz w:val="28"/>
          <w:szCs w:val="28"/>
        </w:rPr>
        <w:t>,</w:t>
      </w:r>
      <w:r w:rsidR="00471055">
        <w:rPr>
          <w:sz w:val="28"/>
          <w:szCs w:val="28"/>
        </w:rPr>
        <w:t xml:space="preserve"> ООО «Завод </w:t>
      </w:r>
      <w:proofErr w:type="spellStart"/>
      <w:r w:rsidR="00471055">
        <w:rPr>
          <w:sz w:val="28"/>
          <w:szCs w:val="28"/>
        </w:rPr>
        <w:t>Спецмаш</w:t>
      </w:r>
      <w:proofErr w:type="spellEnd"/>
      <w:r w:rsidR="00471055">
        <w:rPr>
          <w:sz w:val="28"/>
          <w:szCs w:val="28"/>
        </w:rPr>
        <w:t>»</w:t>
      </w:r>
      <w:r w:rsidR="004074BD">
        <w:rPr>
          <w:sz w:val="28"/>
          <w:szCs w:val="28"/>
        </w:rPr>
        <w:t>),</w:t>
      </w:r>
      <w:r w:rsidR="00471055">
        <w:rPr>
          <w:sz w:val="28"/>
          <w:szCs w:val="28"/>
        </w:rPr>
        <w:t xml:space="preserve"> предприятие легкой промышленности ООО «</w:t>
      </w:r>
      <w:proofErr w:type="spellStart"/>
      <w:r w:rsidR="008757F0">
        <w:rPr>
          <w:sz w:val="28"/>
          <w:szCs w:val="28"/>
        </w:rPr>
        <w:t>Азнакай</w:t>
      </w:r>
      <w:proofErr w:type="spellEnd"/>
      <w:r w:rsidR="008757F0">
        <w:rPr>
          <w:sz w:val="28"/>
          <w:szCs w:val="28"/>
        </w:rPr>
        <w:t xml:space="preserve"> </w:t>
      </w:r>
      <w:proofErr w:type="spellStart"/>
      <w:r w:rsidR="008757F0">
        <w:rPr>
          <w:sz w:val="28"/>
          <w:szCs w:val="28"/>
        </w:rPr>
        <w:t>киемнэ</w:t>
      </w:r>
      <w:r w:rsidR="00471055">
        <w:rPr>
          <w:sz w:val="28"/>
          <w:szCs w:val="28"/>
        </w:rPr>
        <w:t>ре</w:t>
      </w:r>
      <w:proofErr w:type="spellEnd"/>
      <w:r w:rsidR="00471055">
        <w:rPr>
          <w:sz w:val="28"/>
          <w:szCs w:val="28"/>
        </w:rPr>
        <w:t xml:space="preserve">» </w:t>
      </w:r>
      <w:r w:rsidR="004074BD">
        <w:rPr>
          <w:sz w:val="28"/>
          <w:szCs w:val="28"/>
        </w:rPr>
        <w:t xml:space="preserve">и </w:t>
      </w:r>
      <w:proofErr w:type="spellStart"/>
      <w:r w:rsidR="004074BD">
        <w:rPr>
          <w:sz w:val="28"/>
          <w:szCs w:val="28"/>
        </w:rPr>
        <w:t>ресурсоснабжающие</w:t>
      </w:r>
      <w:proofErr w:type="spellEnd"/>
      <w:r w:rsidR="004074BD">
        <w:rPr>
          <w:sz w:val="28"/>
          <w:szCs w:val="28"/>
        </w:rPr>
        <w:t xml:space="preserve"> организации</w:t>
      </w:r>
      <w:r w:rsidR="00471055">
        <w:rPr>
          <w:sz w:val="28"/>
          <w:szCs w:val="28"/>
        </w:rPr>
        <w:t>.</w:t>
      </w:r>
    </w:p>
    <w:p w:rsidR="00FE464B" w:rsidRDefault="00471055" w:rsidP="002D1004">
      <w:p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</w:t>
      </w:r>
      <w:r w:rsidR="008E3D92">
        <w:rPr>
          <w:sz w:val="28"/>
          <w:szCs w:val="28"/>
        </w:rPr>
        <w:t xml:space="preserve">а динамику </w:t>
      </w:r>
      <w:r w:rsidR="006968C9">
        <w:rPr>
          <w:sz w:val="28"/>
          <w:szCs w:val="28"/>
        </w:rPr>
        <w:t>основных показателей</w:t>
      </w:r>
      <w:r>
        <w:rPr>
          <w:sz w:val="28"/>
          <w:szCs w:val="28"/>
        </w:rPr>
        <w:t xml:space="preserve"> в плановый период</w:t>
      </w:r>
      <w:r w:rsidR="002125BE">
        <w:rPr>
          <w:sz w:val="28"/>
          <w:szCs w:val="28"/>
        </w:rPr>
        <w:t xml:space="preserve"> значительное влияние</w:t>
      </w:r>
      <w:r w:rsidR="006968C9">
        <w:rPr>
          <w:sz w:val="28"/>
          <w:szCs w:val="28"/>
        </w:rPr>
        <w:t xml:space="preserve"> </w:t>
      </w:r>
      <w:r>
        <w:rPr>
          <w:sz w:val="28"/>
          <w:szCs w:val="28"/>
        </w:rPr>
        <w:t>окажут внешние</w:t>
      </w:r>
      <w:r w:rsidR="002125BE">
        <w:rPr>
          <w:sz w:val="28"/>
          <w:szCs w:val="28"/>
        </w:rPr>
        <w:t xml:space="preserve"> факторы и ситуация на мировом нефтяном рынке</w:t>
      </w:r>
      <w:r w:rsidR="008757F0">
        <w:rPr>
          <w:sz w:val="28"/>
          <w:szCs w:val="28"/>
        </w:rPr>
        <w:t>, стоимость и объем добываемой нефти, погодные условия и цены на продукции сельского хозяйства.</w:t>
      </w:r>
    </w:p>
    <w:p w:rsidR="00685726" w:rsidRPr="00F62A3E" w:rsidRDefault="00685726" w:rsidP="002D1004">
      <w:pPr>
        <w:pStyle w:val="1"/>
        <w:rPr>
          <w:rFonts w:ascii="Times New Roman" w:hAnsi="Times New Roman" w:cs="Times New Roman"/>
          <w:color w:val="auto"/>
        </w:rPr>
      </w:pPr>
      <w:r w:rsidRPr="00F62A3E">
        <w:rPr>
          <w:rFonts w:ascii="Times New Roman" w:hAnsi="Times New Roman" w:cs="Times New Roman"/>
          <w:color w:val="auto"/>
        </w:rPr>
        <w:t>Численность населения</w:t>
      </w:r>
    </w:p>
    <w:p w:rsidR="00685726" w:rsidRDefault="00685726" w:rsidP="002D1004">
      <w:p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Среднегодовая численность населения Азнакаевского муниципального района по состоянию на 01.01.</w:t>
      </w:r>
      <w:r w:rsidR="00AA37DC">
        <w:rPr>
          <w:sz w:val="28"/>
          <w:szCs w:val="28"/>
        </w:rPr>
        <w:t>202</w:t>
      </w:r>
      <w:r w:rsidR="008757F0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составляет </w:t>
      </w:r>
      <w:r w:rsidR="008757F0">
        <w:rPr>
          <w:sz w:val="28"/>
          <w:szCs w:val="28"/>
        </w:rPr>
        <w:t>58,05</w:t>
      </w:r>
      <w:r w:rsidR="002951FE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ч</w:t>
      </w:r>
      <w:r w:rsidR="00557BD5">
        <w:rPr>
          <w:sz w:val="28"/>
          <w:szCs w:val="28"/>
        </w:rPr>
        <w:t xml:space="preserve">еловек, что соответствует </w:t>
      </w:r>
      <w:r w:rsidR="008757F0">
        <w:rPr>
          <w:sz w:val="28"/>
          <w:szCs w:val="28"/>
        </w:rPr>
        <w:t xml:space="preserve">99,43 </w:t>
      </w:r>
      <w:r>
        <w:rPr>
          <w:sz w:val="28"/>
          <w:szCs w:val="28"/>
        </w:rPr>
        <w:t xml:space="preserve">% к </w:t>
      </w:r>
      <w:r w:rsidR="008757F0">
        <w:rPr>
          <w:sz w:val="28"/>
          <w:szCs w:val="28"/>
        </w:rPr>
        <w:t>прошлому году</w:t>
      </w:r>
      <w:r w:rsidR="002951FE">
        <w:rPr>
          <w:sz w:val="28"/>
          <w:szCs w:val="28"/>
        </w:rPr>
        <w:t xml:space="preserve">. </w:t>
      </w:r>
      <w:r w:rsidR="008757F0">
        <w:rPr>
          <w:sz w:val="28"/>
          <w:szCs w:val="28"/>
        </w:rPr>
        <w:t xml:space="preserve">В районе сохраняется отрицательная </w:t>
      </w:r>
      <w:r>
        <w:rPr>
          <w:sz w:val="28"/>
          <w:szCs w:val="28"/>
        </w:rPr>
        <w:t>демографическая ситуация</w:t>
      </w:r>
      <w:r w:rsidR="008757F0">
        <w:rPr>
          <w:sz w:val="28"/>
          <w:szCs w:val="28"/>
        </w:rPr>
        <w:t>. Вместе с тем, количество случаев смерти в 2022 году (779) сокр</w:t>
      </w:r>
      <w:r w:rsidR="002125BE">
        <w:rPr>
          <w:sz w:val="28"/>
          <w:szCs w:val="28"/>
        </w:rPr>
        <w:t xml:space="preserve">атилось по сравнению с </w:t>
      </w:r>
      <w:proofErr w:type="spellStart"/>
      <w:r w:rsidR="002125BE">
        <w:rPr>
          <w:sz w:val="28"/>
          <w:szCs w:val="28"/>
        </w:rPr>
        <w:t>ковидным</w:t>
      </w:r>
      <w:proofErr w:type="spellEnd"/>
      <w:r w:rsidR="002125BE">
        <w:rPr>
          <w:sz w:val="28"/>
          <w:szCs w:val="28"/>
        </w:rPr>
        <w:t xml:space="preserve"> периодом</w:t>
      </w:r>
      <w:r w:rsidR="008757F0">
        <w:rPr>
          <w:sz w:val="28"/>
          <w:szCs w:val="28"/>
        </w:rPr>
        <w:t xml:space="preserve"> (2020г -1069, 2021 г. -1145),</w:t>
      </w:r>
      <w:r w:rsidR="000C1F03">
        <w:rPr>
          <w:sz w:val="28"/>
          <w:szCs w:val="28"/>
        </w:rPr>
        <w:t xml:space="preserve"> </w:t>
      </w:r>
      <w:r w:rsidR="008757F0">
        <w:rPr>
          <w:sz w:val="28"/>
          <w:szCs w:val="28"/>
        </w:rPr>
        <w:t>более чем на 300 случае ежегодно</w:t>
      </w:r>
      <w:r>
        <w:rPr>
          <w:sz w:val="28"/>
          <w:szCs w:val="28"/>
        </w:rPr>
        <w:t xml:space="preserve">. Продолжается миграционный отток населения </w:t>
      </w:r>
      <w:r w:rsidR="002951FE">
        <w:rPr>
          <w:sz w:val="28"/>
          <w:szCs w:val="28"/>
        </w:rPr>
        <w:t xml:space="preserve">и естественная убыль населения. </w:t>
      </w:r>
      <w:r>
        <w:rPr>
          <w:sz w:val="28"/>
          <w:szCs w:val="28"/>
        </w:rPr>
        <w:t>Увеличения численности населения</w:t>
      </w:r>
      <w:r w:rsidR="002125BE">
        <w:rPr>
          <w:sz w:val="28"/>
          <w:szCs w:val="28"/>
        </w:rPr>
        <w:t>, в плановый период,</w:t>
      </w:r>
      <w:r>
        <w:rPr>
          <w:sz w:val="28"/>
          <w:szCs w:val="28"/>
        </w:rPr>
        <w:t xml:space="preserve"> не прогнозируется.</w:t>
      </w:r>
      <w:r w:rsidR="002951FE">
        <w:rPr>
          <w:sz w:val="28"/>
          <w:szCs w:val="28"/>
        </w:rPr>
        <w:t xml:space="preserve"> </w:t>
      </w:r>
    </w:p>
    <w:p w:rsidR="00685726" w:rsidRPr="00F62A3E" w:rsidRDefault="00685726" w:rsidP="002D1004">
      <w:pPr>
        <w:pStyle w:val="1"/>
        <w:rPr>
          <w:rFonts w:ascii="Times New Roman" w:hAnsi="Times New Roman" w:cs="Times New Roman"/>
          <w:color w:val="auto"/>
        </w:rPr>
      </w:pPr>
      <w:r w:rsidRPr="00F62A3E">
        <w:rPr>
          <w:rFonts w:ascii="Times New Roman" w:hAnsi="Times New Roman" w:cs="Times New Roman"/>
          <w:color w:val="auto"/>
        </w:rPr>
        <w:t>Валовой территориальный продукт</w:t>
      </w:r>
      <w:r w:rsidR="002125BE">
        <w:rPr>
          <w:rFonts w:ascii="Times New Roman" w:hAnsi="Times New Roman" w:cs="Times New Roman"/>
          <w:color w:val="auto"/>
        </w:rPr>
        <w:t xml:space="preserve"> (ВТП)</w:t>
      </w:r>
    </w:p>
    <w:p w:rsidR="00E26FF0" w:rsidRDefault="00E97B1A" w:rsidP="002D1004">
      <w:p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685726">
        <w:rPr>
          <w:sz w:val="28"/>
          <w:szCs w:val="28"/>
        </w:rPr>
        <w:t>структуре ВТП -</w:t>
      </w:r>
      <w:r w:rsidR="00EB6587">
        <w:rPr>
          <w:sz w:val="28"/>
          <w:szCs w:val="28"/>
        </w:rPr>
        <w:t xml:space="preserve"> 74,5</w:t>
      </w:r>
      <w:r w:rsidR="00685726">
        <w:rPr>
          <w:sz w:val="28"/>
          <w:szCs w:val="28"/>
        </w:rPr>
        <w:t xml:space="preserve"> % приходится на промышленность, пределах </w:t>
      </w:r>
      <w:r w:rsidR="00EB6587">
        <w:rPr>
          <w:sz w:val="28"/>
          <w:szCs w:val="28"/>
        </w:rPr>
        <w:t>6</w:t>
      </w:r>
      <w:r w:rsidR="00685726">
        <w:rPr>
          <w:sz w:val="28"/>
          <w:szCs w:val="28"/>
        </w:rPr>
        <w:t xml:space="preserve">% занимает </w:t>
      </w:r>
      <w:r w:rsidR="00A75392">
        <w:rPr>
          <w:sz w:val="28"/>
          <w:szCs w:val="28"/>
        </w:rPr>
        <w:t xml:space="preserve">сельское </w:t>
      </w:r>
      <w:r w:rsidR="00685726">
        <w:rPr>
          <w:sz w:val="28"/>
          <w:szCs w:val="28"/>
        </w:rPr>
        <w:t>и лесное хозяйство</w:t>
      </w:r>
      <w:r w:rsidR="002951FE">
        <w:rPr>
          <w:sz w:val="28"/>
          <w:szCs w:val="28"/>
        </w:rPr>
        <w:t xml:space="preserve">, </w:t>
      </w:r>
      <w:r w:rsidR="00EB6587">
        <w:rPr>
          <w:sz w:val="28"/>
          <w:szCs w:val="28"/>
        </w:rPr>
        <w:t>5</w:t>
      </w:r>
      <w:r w:rsidR="002951FE">
        <w:rPr>
          <w:sz w:val="28"/>
          <w:szCs w:val="28"/>
        </w:rPr>
        <w:t>% занимает транспортировка и хранение,</w:t>
      </w:r>
      <w:r w:rsidR="002951FE" w:rsidRPr="002951FE">
        <w:rPr>
          <w:sz w:val="28"/>
          <w:szCs w:val="28"/>
        </w:rPr>
        <w:t xml:space="preserve"> </w:t>
      </w:r>
      <w:r w:rsidR="00EB6587">
        <w:rPr>
          <w:sz w:val="28"/>
          <w:szCs w:val="28"/>
        </w:rPr>
        <w:t>1,3</w:t>
      </w:r>
      <w:r w:rsidR="002951FE">
        <w:rPr>
          <w:sz w:val="28"/>
          <w:szCs w:val="28"/>
        </w:rPr>
        <w:t>% - доля строительной отрасли</w:t>
      </w:r>
      <w:r w:rsidR="00685726">
        <w:rPr>
          <w:sz w:val="28"/>
          <w:szCs w:val="28"/>
        </w:rPr>
        <w:t>.</w:t>
      </w:r>
      <w:r w:rsidR="000C1F03">
        <w:rPr>
          <w:sz w:val="28"/>
          <w:szCs w:val="28"/>
        </w:rPr>
        <w:t xml:space="preserve"> Иные </w:t>
      </w:r>
      <w:r w:rsidR="000C1F03" w:rsidRPr="000C1F03">
        <w:rPr>
          <w:sz w:val="28"/>
          <w:szCs w:val="28"/>
        </w:rPr>
        <w:t>отрасли</w:t>
      </w:r>
      <w:r w:rsidR="00A75392">
        <w:rPr>
          <w:sz w:val="28"/>
          <w:szCs w:val="28"/>
        </w:rPr>
        <w:t xml:space="preserve"> </w:t>
      </w:r>
      <w:r w:rsidR="000C1F03" w:rsidRPr="000C1F03">
        <w:rPr>
          <w:sz w:val="28"/>
          <w:szCs w:val="28"/>
        </w:rPr>
        <w:t>существенного влияния</w:t>
      </w:r>
      <w:r w:rsidR="000C1F03">
        <w:rPr>
          <w:sz w:val="28"/>
          <w:szCs w:val="28"/>
        </w:rPr>
        <w:t xml:space="preserve"> на показатель</w:t>
      </w:r>
      <w:r w:rsidR="000C1F03" w:rsidRPr="000C1F03">
        <w:rPr>
          <w:sz w:val="28"/>
          <w:szCs w:val="28"/>
        </w:rPr>
        <w:t xml:space="preserve"> не оказывают. </w:t>
      </w:r>
      <w:r w:rsidR="002951FE">
        <w:rPr>
          <w:sz w:val="28"/>
          <w:szCs w:val="28"/>
        </w:rPr>
        <w:t>Проло</w:t>
      </w:r>
      <w:r w:rsidR="00921A59">
        <w:rPr>
          <w:sz w:val="28"/>
          <w:szCs w:val="28"/>
        </w:rPr>
        <w:t>нгирова</w:t>
      </w:r>
      <w:r w:rsidR="002951FE">
        <w:rPr>
          <w:sz w:val="28"/>
          <w:szCs w:val="28"/>
        </w:rPr>
        <w:t>н</w:t>
      </w:r>
      <w:r w:rsidR="00921A59">
        <w:rPr>
          <w:sz w:val="28"/>
          <w:szCs w:val="28"/>
        </w:rPr>
        <w:t>ное</w:t>
      </w:r>
      <w:r w:rsidR="002951FE">
        <w:rPr>
          <w:sz w:val="28"/>
          <w:szCs w:val="28"/>
        </w:rPr>
        <w:t xml:space="preserve"> </w:t>
      </w:r>
      <w:r w:rsidR="000C1F03" w:rsidRPr="00F8697D">
        <w:rPr>
          <w:sz w:val="28"/>
          <w:szCs w:val="28"/>
        </w:rPr>
        <w:t>решени</w:t>
      </w:r>
      <w:r w:rsidR="00921A59">
        <w:rPr>
          <w:sz w:val="28"/>
          <w:szCs w:val="28"/>
        </w:rPr>
        <w:t>е</w:t>
      </w:r>
      <w:r w:rsidR="002951FE">
        <w:rPr>
          <w:sz w:val="28"/>
          <w:szCs w:val="28"/>
        </w:rPr>
        <w:t xml:space="preserve"> </w:t>
      </w:r>
      <w:r w:rsidR="000C1F03">
        <w:rPr>
          <w:sz w:val="28"/>
          <w:szCs w:val="28"/>
        </w:rPr>
        <w:t>ОПЕК</w:t>
      </w:r>
      <w:r w:rsidR="00FE464B">
        <w:rPr>
          <w:sz w:val="28"/>
          <w:szCs w:val="28"/>
        </w:rPr>
        <w:t xml:space="preserve"> </w:t>
      </w:r>
      <w:r w:rsidR="002951FE">
        <w:rPr>
          <w:sz w:val="28"/>
          <w:szCs w:val="28"/>
        </w:rPr>
        <w:t xml:space="preserve">о сокращении </w:t>
      </w:r>
      <w:r w:rsidR="00921A59">
        <w:rPr>
          <w:sz w:val="28"/>
          <w:szCs w:val="28"/>
        </w:rPr>
        <w:t>добычи нефти, и</w:t>
      </w:r>
      <w:r w:rsidR="002951FE">
        <w:rPr>
          <w:sz w:val="28"/>
          <w:szCs w:val="28"/>
        </w:rPr>
        <w:t xml:space="preserve"> прогнозные данные о</w:t>
      </w:r>
      <w:r w:rsidR="00921A59">
        <w:rPr>
          <w:sz w:val="28"/>
          <w:szCs w:val="28"/>
        </w:rPr>
        <w:t xml:space="preserve"> плановых показателях по </w:t>
      </w:r>
      <w:r w:rsidR="00921A59">
        <w:rPr>
          <w:sz w:val="28"/>
          <w:szCs w:val="28"/>
        </w:rPr>
        <w:lastRenderedPageBreak/>
        <w:t xml:space="preserve">добыче нефти </w:t>
      </w:r>
      <w:r w:rsidR="002951FE">
        <w:rPr>
          <w:sz w:val="28"/>
          <w:szCs w:val="28"/>
        </w:rPr>
        <w:t xml:space="preserve"> </w:t>
      </w:r>
      <w:r w:rsidR="00921A59">
        <w:rPr>
          <w:sz w:val="28"/>
          <w:szCs w:val="28"/>
        </w:rPr>
        <w:t>структурн</w:t>
      </w:r>
      <w:r w:rsidR="00424463">
        <w:rPr>
          <w:sz w:val="28"/>
          <w:szCs w:val="28"/>
        </w:rPr>
        <w:t>ым</w:t>
      </w:r>
      <w:r w:rsidR="002951FE">
        <w:rPr>
          <w:sz w:val="28"/>
          <w:szCs w:val="28"/>
        </w:rPr>
        <w:t xml:space="preserve"> подразделени</w:t>
      </w:r>
      <w:r w:rsidR="00424463">
        <w:rPr>
          <w:sz w:val="28"/>
          <w:szCs w:val="28"/>
        </w:rPr>
        <w:t>ем</w:t>
      </w:r>
      <w:r w:rsidR="002951FE">
        <w:rPr>
          <w:sz w:val="28"/>
          <w:szCs w:val="28"/>
        </w:rPr>
        <w:t xml:space="preserve"> ПАО «Татнефть»</w:t>
      </w:r>
      <w:r w:rsidR="00921A59">
        <w:rPr>
          <w:sz w:val="28"/>
          <w:szCs w:val="28"/>
        </w:rPr>
        <w:t>, осуществляющ</w:t>
      </w:r>
      <w:r w:rsidR="00424463">
        <w:rPr>
          <w:sz w:val="28"/>
          <w:szCs w:val="28"/>
        </w:rPr>
        <w:t>им</w:t>
      </w:r>
      <w:r w:rsidR="00921A59">
        <w:rPr>
          <w:sz w:val="28"/>
          <w:szCs w:val="28"/>
        </w:rPr>
        <w:t xml:space="preserve"> деятельность на территории района, </w:t>
      </w:r>
      <w:r w:rsidR="00424463">
        <w:rPr>
          <w:sz w:val="28"/>
          <w:szCs w:val="28"/>
        </w:rPr>
        <w:t xml:space="preserve">а также снижение стоимости нефти, после роста в 2022 году, </w:t>
      </w:r>
      <w:r w:rsidR="00DE5FA9">
        <w:rPr>
          <w:sz w:val="28"/>
          <w:szCs w:val="28"/>
        </w:rPr>
        <w:t xml:space="preserve">являются факторами </w:t>
      </w:r>
      <w:r w:rsidR="002125BE">
        <w:rPr>
          <w:sz w:val="28"/>
          <w:szCs w:val="28"/>
        </w:rPr>
        <w:t>сдерживающими рост</w:t>
      </w:r>
      <w:r w:rsidR="00424463">
        <w:rPr>
          <w:sz w:val="28"/>
          <w:szCs w:val="28"/>
        </w:rPr>
        <w:t xml:space="preserve"> </w:t>
      </w:r>
      <w:r w:rsidR="002125BE">
        <w:rPr>
          <w:sz w:val="28"/>
          <w:szCs w:val="28"/>
        </w:rPr>
        <w:t>ВТП</w:t>
      </w:r>
      <w:r w:rsidR="00424463">
        <w:rPr>
          <w:sz w:val="28"/>
          <w:szCs w:val="28"/>
        </w:rPr>
        <w:t>.</w:t>
      </w:r>
    </w:p>
    <w:p w:rsidR="000C1F03" w:rsidRDefault="00746955" w:rsidP="002D1004">
      <w:p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 учетом погодных</w:t>
      </w:r>
      <w:r w:rsidR="00DE5FA9">
        <w:rPr>
          <w:sz w:val="28"/>
          <w:szCs w:val="28"/>
        </w:rPr>
        <w:t xml:space="preserve"> услови</w:t>
      </w:r>
      <w:r>
        <w:rPr>
          <w:sz w:val="28"/>
          <w:szCs w:val="28"/>
        </w:rPr>
        <w:t>й</w:t>
      </w:r>
      <w:r w:rsidR="00DE5FA9">
        <w:rPr>
          <w:sz w:val="28"/>
          <w:szCs w:val="28"/>
        </w:rPr>
        <w:t xml:space="preserve"> текущего года</w:t>
      </w:r>
      <w:r>
        <w:rPr>
          <w:sz w:val="28"/>
          <w:szCs w:val="28"/>
        </w:rPr>
        <w:t xml:space="preserve"> и цен на основные виды продукции (зерно, молоко),  производимые агропромышленным комплексом района,</w:t>
      </w:r>
      <w:r w:rsidR="00DE5FA9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2125BE">
        <w:rPr>
          <w:sz w:val="28"/>
          <w:szCs w:val="28"/>
        </w:rPr>
        <w:t xml:space="preserve">ост объема валовой продукции сельского хозяйства прогнозируется </w:t>
      </w:r>
      <w:r>
        <w:rPr>
          <w:sz w:val="28"/>
          <w:szCs w:val="28"/>
        </w:rPr>
        <w:t xml:space="preserve">незначительный, </w:t>
      </w:r>
      <w:r w:rsidR="002125BE">
        <w:rPr>
          <w:sz w:val="28"/>
          <w:szCs w:val="28"/>
        </w:rPr>
        <w:t>за счет увеличения объема реализации сельскохозяйственной продукции.</w:t>
      </w:r>
    </w:p>
    <w:p w:rsidR="004746A2" w:rsidRDefault="00557BD5" w:rsidP="002D1004">
      <w:p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С учетом </w:t>
      </w:r>
      <w:r w:rsidR="000C1F03">
        <w:rPr>
          <w:sz w:val="28"/>
          <w:szCs w:val="28"/>
        </w:rPr>
        <w:t>прогнозных</w:t>
      </w:r>
      <w:r w:rsidR="006F515F">
        <w:rPr>
          <w:sz w:val="28"/>
          <w:szCs w:val="28"/>
        </w:rPr>
        <w:t xml:space="preserve"> данных</w:t>
      </w:r>
      <w:r w:rsidR="004746A2">
        <w:rPr>
          <w:sz w:val="28"/>
          <w:szCs w:val="28"/>
        </w:rPr>
        <w:t xml:space="preserve"> промышленных</w:t>
      </w:r>
      <w:r w:rsidR="000C1F03">
        <w:rPr>
          <w:sz w:val="28"/>
          <w:szCs w:val="28"/>
        </w:rPr>
        <w:t xml:space="preserve"> предприятий</w:t>
      </w:r>
      <w:r w:rsidR="004746A2">
        <w:rPr>
          <w:sz w:val="28"/>
          <w:szCs w:val="28"/>
        </w:rPr>
        <w:t>, агропромышленного ком</w:t>
      </w:r>
      <w:r w:rsidR="00101AF8">
        <w:rPr>
          <w:sz w:val="28"/>
          <w:szCs w:val="28"/>
        </w:rPr>
        <w:t>плекса, строительной индустрии, сферы</w:t>
      </w:r>
      <w:r w:rsidR="004746A2">
        <w:rPr>
          <w:sz w:val="28"/>
          <w:szCs w:val="28"/>
        </w:rPr>
        <w:t xml:space="preserve"> торговли и бытовых услуг, показателе</w:t>
      </w:r>
      <w:r w:rsidR="00E26FF0">
        <w:rPr>
          <w:sz w:val="28"/>
          <w:szCs w:val="28"/>
        </w:rPr>
        <w:t>й</w:t>
      </w:r>
      <w:r w:rsidR="00746955">
        <w:rPr>
          <w:sz w:val="28"/>
          <w:szCs w:val="28"/>
        </w:rPr>
        <w:t xml:space="preserve"> хозяйственной деятельности предприятий</w:t>
      </w:r>
      <w:r w:rsidR="004746A2">
        <w:rPr>
          <w:sz w:val="28"/>
          <w:szCs w:val="28"/>
        </w:rPr>
        <w:t xml:space="preserve"> за</w:t>
      </w:r>
      <w:r w:rsidR="000C1F03">
        <w:rPr>
          <w:sz w:val="28"/>
          <w:szCs w:val="28"/>
        </w:rPr>
        <w:t xml:space="preserve"> истекший период текущего года,</w:t>
      </w:r>
      <w:r w:rsidR="00E26FF0">
        <w:rPr>
          <w:sz w:val="28"/>
          <w:szCs w:val="28"/>
        </w:rPr>
        <w:t xml:space="preserve"> ВТП 2023</w:t>
      </w:r>
      <w:r w:rsidR="00746955">
        <w:rPr>
          <w:sz w:val="28"/>
          <w:szCs w:val="28"/>
        </w:rPr>
        <w:t xml:space="preserve"> года оцени</w:t>
      </w:r>
      <w:r w:rsidR="00E26FF0">
        <w:rPr>
          <w:sz w:val="28"/>
          <w:szCs w:val="28"/>
        </w:rPr>
        <w:t>вается в объеме 8</w:t>
      </w:r>
      <w:r w:rsidR="00EB6587">
        <w:rPr>
          <w:sz w:val="28"/>
          <w:szCs w:val="28"/>
        </w:rPr>
        <w:t>6,6</w:t>
      </w:r>
      <w:r w:rsidR="00E26FF0">
        <w:rPr>
          <w:sz w:val="28"/>
          <w:szCs w:val="28"/>
        </w:rPr>
        <w:t xml:space="preserve"> млрд</w:t>
      </w:r>
      <w:proofErr w:type="gramStart"/>
      <w:r w:rsidR="00E26FF0">
        <w:rPr>
          <w:sz w:val="28"/>
          <w:szCs w:val="28"/>
        </w:rPr>
        <w:t>.р</w:t>
      </w:r>
      <w:proofErr w:type="gramEnd"/>
      <w:r w:rsidR="00E26FF0">
        <w:rPr>
          <w:sz w:val="28"/>
          <w:szCs w:val="28"/>
        </w:rPr>
        <w:t>ублей.</w:t>
      </w:r>
      <w:r w:rsidR="00446FC2">
        <w:rPr>
          <w:sz w:val="28"/>
          <w:szCs w:val="28"/>
        </w:rPr>
        <w:t xml:space="preserve"> </w:t>
      </w:r>
      <w:r w:rsidR="00746955">
        <w:rPr>
          <w:sz w:val="28"/>
          <w:szCs w:val="28"/>
        </w:rPr>
        <w:t>Т</w:t>
      </w:r>
      <w:r w:rsidR="000C1F03">
        <w:rPr>
          <w:sz w:val="28"/>
          <w:szCs w:val="28"/>
        </w:rPr>
        <w:t xml:space="preserve">емп роста </w:t>
      </w:r>
      <w:r w:rsidR="00E76192" w:rsidRPr="00741DED">
        <w:rPr>
          <w:sz w:val="28"/>
          <w:szCs w:val="28"/>
        </w:rPr>
        <w:t>ВТП</w:t>
      </w:r>
      <w:r w:rsidR="004746A2" w:rsidRPr="004746A2">
        <w:rPr>
          <w:sz w:val="28"/>
          <w:szCs w:val="28"/>
        </w:rPr>
        <w:t xml:space="preserve"> </w:t>
      </w:r>
      <w:r w:rsidR="004746A2">
        <w:rPr>
          <w:sz w:val="28"/>
          <w:szCs w:val="28"/>
        </w:rPr>
        <w:t>в 202</w:t>
      </w:r>
      <w:r w:rsidR="00DE5FA9">
        <w:rPr>
          <w:sz w:val="28"/>
          <w:szCs w:val="28"/>
        </w:rPr>
        <w:t>3</w:t>
      </w:r>
      <w:r w:rsidR="004746A2">
        <w:rPr>
          <w:sz w:val="28"/>
          <w:szCs w:val="28"/>
        </w:rPr>
        <w:t xml:space="preserve"> году</w:t>
      </w:r>
      <w:r w:rsidR="000C1F03">
        <w:rPr>
          <w:sz w:val="28"/>
          <w:szCs w:val="28"/>
        </w:rPr>
        <w:t>,</w:t>
      </w:r>
      <w:r w:rsidR="00E76192" w:rsidRPr="00741DED">
        <w:rPr>
          <w:sz w:val="28"/>
          <w:szCs w:val="28"/>
        </w:rPr>
        <w:t xml:space="preserve"> в </w:t>
      </w:r>
      <w:r w:rsidR="00FB2623">
        <w:rPr>
          <w:sz w:val="28"/>
          <w:szCs w:val="28"/>
        </w:rPr>
        <w:t xml:space="preserve">сопоставимых </w:t>
      </w:r>
      <w:r w:rsidR="00E76192" w:rsidRPr="00741DED">
        <w:rPr>
          <w:sz w:val="28"/>
          <w:szCs w:val="28"/>
        </w:rPr>
        <w:t>ценах</w:t>
      </w:r>
      <w:r w:rsidR="000C1F03">
        <w:rPr>
          <w:sz w:val="28"/>
          <w:szCs w:val="28"/>
        </w:rPr>
        <w:t>,</w:t>
      </w:r>
      <w:r w:rsidR="00446FC2">
        <w:rPr>
          <w:sz w:val="28"/>
          <w:szCs w:val="28"/>
        </w:rPr>
        <w:t xml:space="preserve"> </w:t>
      </w:r>
      <w:r w:rsidR="00DE5FA9">
        <w:rPr>
          <w:sz w:val="28"/>
          <w:szCs w:val="28"/>
        </w:rPr>
        <w:t>оценивается</w:t>
      </w:r>
      <w:r w:rsidR="00446FC2">
        <w:rPr>
          <w:sz w:val="28"/>
          <w:szCs w:val="28"/>
        </w:rPr>
        <w:t xml:space="preserve"> на </w:t>
      </w:r>
      <w:r w:rsidR="00446FC2" w:rsidRPr="00B109FB">
        <w:rPr>
          <w:sz w:val="28"/>
          <w:szCs w:val="28"/>
        </w:rPr>
        <w:t>уровне</w:t>
      </w:r>
      <w:r w:rsidR="00101AF8">
        <w:rPr>
          <w:sz w:val="28"/>
          <w:szCs w:val="28"/>
        </w:rPr>
        <w:t xml:space="preserve"> </w:t>
      </w:r>
      <w:r w:rsidR="00EB6587">
        <w:rPr>
          <w:sz w:val="28"/>
          <w:szCs w:val="28"/>
        </w:rPr>
        <w:t>–</w:t>
      </w:r>
      <w:r w:rsidR="00446FC2" w:rsidRPr="00B109FB">
        <w:rPr>
          <w:sz w:val="28"/>
          <w:szCs w:val="28"/>
        </w:rPr>
        <w:t xml:space="preserve"> </w:t>
      </w:r>
      <w:r w:rsidR="00EB6587">
        <w:rPr>
          <w:sz w:val="28"/>
          <w:szCs w:val="28"/>
        </w:rPr>
        <w:t>97,71</w:t>
      </w:r>
      <w:r w:rsidR="00F8697D" w:rsidRPr="00B109FB">
        <w:rPr>
          <w:sz w:val="28"/>
          <w:szCs w:val="28"/>
        </w:rPr>
        <w:t>%</w:t>
      </w:r>
      <w:r w:rsidR="004746A2" w:rsidRPr="00B109FB">
        <w:rPr>
          <w:sz w:val="28"/>
          <w:szCs w:val="28"/>
        </w:rPr>
        <w:t xml:space="preserve">. В </w:t>
      </w:r>
      <w:r w:rsidR="00DE5FA9">
        <w:rPr>
          <w:sz w:val="28"/>
          <w:szCs w:val="28"/>
        </w:rPr>
        <w:t xml:space="preserve">2024 -2026 годах </w:t>
      </w:r>
      <w:r w:rsidR="002125BE">
        <w:rPr>
          <w:sz w:val="28"/>
          <w:szCs w:val="28"/>
        </w:rPr>
        <w:t>темп роста</w:t>
      </w:r>
      <w:r w:rsidR="00746955">
        <w:rPr>
          <w:sz w:val="28"/>
          <w:szCs w:val="28"/>
        </w:rPr>
        <w:t xml:space="preserve"> ВТП</w:t>
      </w:r>
      <w:r w:rsidR="002125BE">
        <w:rPr>
          <w:sz w:val="28"/>
          <w:szCs w:val="28"/>
        </w:rPr>
        <w:t xml:space="preserve"> </w:t>
      </w:r>
      <w:r w:rsidR="00DE5FA9">
        <w:rPr>
          <w:sz w:val="28"/>
          <w:szCs w:val="28"/>
        </w:rPr>
        <w:t>прогнозируется</w:t>
      </w:r>
      <w:r w:rsidR="00101AF8">
        <w:rPr>
          <w:sz w:val="28"/>
          <w:szCs w:val="28"/>
        </w:rPr>
        <w:t>:</w:t>
      </w:r>
      <w:r w:rsidR="00DE5FA9">
        <w:rPr>
          <w:sz w:val="28"/>
          <w:szCs w:val="28"/>
        </w:rPr>
        <w:t xml:space="preserve"> 2024г.- 98</w:t>
      </w:r>
      <w:r w:rsidR="00EB6587">
        <w:rPr>
          <w:sz w:val="28"/>
          <w:szCs w:val="28"/>
        </w:rPr>
        <w:t>,9</w:t>
      </w:r>
      <w:r w:rsidR="00DE5FA9">
        <w:rPr>
          <w:sz w:val="28"/>
          <w:szCs w:val="28"/>
        </w:rPr>
        <w:t xml:space="preserve">%, 2025г. – </w:t>
      </w:r>
      <w:r w:rsidR="00EB6587">
        <w:rPr>
          <w:sz w:val="28"/>
          <w:szCs w:val="28"/>
        </w:rPr>
        <w:t>100,4</w:t>
      </w:r>
      <w:r w:rsidR="00DE5FA9">
        <w:rPr>
          <w:sz w:val="28"/>
          <w:szCs w:val="28"/>
        </w:rPr>
        <w:t>%</w:t>
      </w:r>
      <w:r w:rsidR="004A0AA7">
        <w:rPr>
          <w:sz w:val="28"/>
          <w:szCs w:val="28"/>
        </w:rPr>
        <w:t xml:space="preserve">, 2026г </w:t>
      </w:r>
      <w:r w:rsidR="00EB6587">
        <w:rPr>
          <w:sz w:val="28"/>
          <w:szCs w:val="28"/>
        </w:rPr>
        <w:t>– 99,5</w:t>
      </w:r>
      <w:r w:rsidR="004A0AA7">
        <w:rPr>
          <w:sz w:val="28"/>
          <w:szCs w:val="28"/>
        </w:rPr>
        <w:t>%,</w:t>
      </w:r>
      <w:r w:rsidR="002125BE">
        <w:rPr>
          <w:sz w:val="28"/>
          <w:szCs w:val="28"/>
        </w:rPr>
        <w:t xml:space="preserve"> </w:t>
      </w:r>
      <w:r w:rsidR="004A0AA7">
        <w:rPr>
          <w:sz w:val="28"/>
          <w:szCs w:val="28"/>
        </w:rPr>
        <w:t xml:space="preserve">при условии сохранения </w:t>
      </w:r>
      <w:r w:rsidR="002125BE">
        <w:rPr>
          <w:sz w:val="28"/>
          <w:szCs w:val="28"/>
        </w:rPr>
        <w:t>текущей ситуации на нефтяном рынке</w:t>
      </w:r>
      <w:r w:rsidR="00101AF8">
        <w:rPr>
          <w:sz w:val="28"/>
          <w:szCs w:val="28"/>
        </w:rPr>
        <w:t xml:space="preserve"> и прогнозируемого курса доллара.</w:t>
      </w:r>
    </w:p>
    <w:p w:rsidR="00CB3454" w:rsidRPr="00F62A3E" w:rsidRDefault="00CB3454" w:rsidP="002D1004">
      <w:pPr>
        <w:pStyle w:val="1"/>
        <w:rPr>
          <w:rFonts w:ascii="Times New Roman" w:hAnsi="Times New Roman" w:cs="Times New Roman"/>
          <w:color w:val="auto"/>
        </w:rPr>
      </w:pPr>
      <w:r w:rsidRPr="00F62A3E">
        <w:rPr>
          <w:rFonts w:ascii="Times New Roman" w:hAnsi="Times New Roman" w:cs="Times New Roman"/>
          <w:color w:val="auto"/>
        </w:rPr>
        <w:t>Добавленная стоимость</w:t>
      </w:r>
    </w:p>
    <w:p w:rsidR="00D5172E" w:rsidRDefault="00AF5AB2" w:rsidP="002D1004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По итогам </w:t>
      </w:r>
      <w:r w:rsidR="00FE464B">
        <w:rPr>
          <w:sz w:val="28"/>
          <w:szCs w:val="28"/>
        </w:rPr>
        <w:t>202</w:t>
      </w:r>
      <w:r w:rsidR="002125BE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  <w:r w:rsidR="00071830">
        <w:rPr>
          <w:sz w:val="28"/>
          <w:szCs w:val="28"/>
        </w:rPr>
        <w:t xml:space="preserve"> объем добавленной стоимости, произведенной </w:t>
      </w:r>
      <w:r w:rsidR="00E26FF0">
        <w:rPr>
          <w:sz w:val="28"/>
          <w:szCs w:val="28"/>
        </w:rPr>
        <w:t>предприятиями</w:t>
      </w:r>
      <w:r w:rsidR="00071830">
        <w:rPr>
          <w:sz w:val="28"/>
          <w:szCs w:val="28"/>
        </w:rPr>
        <w:t xml:space="preserve"> района, составил </w:t>
      </w:r>
      <w:r w:rsidR="006F515F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2125BE">
        <w:rPr>
          <w:sz w:val="28"/>
          <w:szCs w:val="28"/>
        </w:rPr>
        <w:t>78</w:t>
      </w:r>
      <w:r w:rsidR="00E26FF0">
        <w:rPr>
          <w:sz w:val="28"/>
          <w:szCs w:val="28"/>
        </w:rPr>
        <w:t xml:space="preserve"> млрд</w:t>
      </w:r>
      <w:proofErr w:type="gramStart"/>
      <w:r w:rsidR="00E26FF0">
        <w:rPr>
          <w:sz w:val="28"/>
          <w:szCs w:val="28"/>
        </w:rPr>
        <w:t>.</w:t>
      </w:r>
      <w:r w:rsidR="00BD577C" w:rsidRPr="00BD577C">
        <w:rPr>
          <w:sz w:val="28"/>
          <w:szCs w:val="28"/>
        </w:rPr>
        <w:t>р</w:t>
      </w:r>
      <w:proofErr w:type="gramEnd"/>
      <w:r w:rsidR="00BD577C" w:rsidRPr="00BD577C">
        <w:rPr>
          <w:sz w:val="28"/>
          <w:szCs w:val="28"/>
        </w:rPr>
        <w:t xml:space="preserve">уб. </w:t>
      </w:r>
      <w:r w:rsidR="00071830">
        <w:rPr>
          <w:sz w:val="28"/>
          <w:szCs w:val="28"/>
        </w:rPr>
        <w:t xml:space="preserve">По сравнению с </w:t>
      </w:r>
      <w:r w:rsidR="00E97B1A">
        <w:rPr>
          <w:sz w:val="28"/>
          <w:szCs w:val="28"/>
        </w:rPr>
        <w:t>20</w:t>
      </w:r>
      <w:r w:rsidR="002125BE">
        <w:rPr>
          <w:sz w:val="28"/>
          <w:szCs w:val="28"/>
        </w:rPr>
        <w:t>21</w:t>
      </w:r>
      <w:r w:rsidR="00E97B1A">
        <w:rPr>
          <w:sz w:val="28"/>
          <w:szCs w:val="28"/>
        </w:rPr>
        <w:t xml:space="preserve"> год</w:t>
      </w:r>
      <w:r w:rsidR="006F515F">
        <w:rPr>
          <w:sz w:val="28"/>
          <w:szCs w:val="28"/>
        </w:rPr>
        <w:t>ом</w:t>
      </w:r>
      <w:r w:rsidR="00E97B1A">
        <w:rPr>
          <w:sz w:val="28"/>
          <w:szCs w:val="28"/>
        </w:rPr>
        <w:t xml:space="preserve"> </w:t>
      </w:r>
      <w:r w:rsidR="006F515F">
        <w:rPr>
          <w:sz w:val="28"/>
          <w:szCs w:val="28"/>
        </w:rPr>
        <w:t>рост состави</w:t>
      </w:r>
      <w:r w:rsidR="006F515F" w:rsidRPr="00E91216">
        <w:rPr>
          <w:sz w:val="28"/>
          <w:szCs w:val="28"/>
        </w:rPr>
        <w:t>л</w:t>
      </w:r>
      <w:r w:rsidR="00E97B1A" w:rsidRPr="00E91216">
        <w:rPr>
          <w:sz w:val="28"/>
          <w:szCs w:val="28"/>
        </w:rPr>
        <w:t xml:space="preserve"> </w:t>
      </w:r>
      <w:r w:rsidR="002125BE">
        <w:rPr>
          <w:sz w:val="28"/>
          <w:szCs w:val="28"/>
        </w:rPr>
        <w:t>11,5</w:t>
      </w:r>
      <w:r w:rsidR="00E26FF0">
        <w:rPr>
          <w:sz w:val="28"/>
          <w:szCs w:val="28"/>
        </w:rPr>
        <w:t xml:space="preserve"> %.</w:t>
      </w:r>
      <w:r w:rsidR="002125BE">
        <w:rPr>
          <w:sz w:val="28"/>
          <w:szCs w:val="28"/>
        </w:rPr>
        <w:t xml:space="preserve"> Более 80</w:t>
      </w:r>
      <w:r w:rsidR="00BD577C" w:rsidRPr="00E91216">
        <w:rPr>
          <w:sz w:val="28"/>
          <w:szCs w:val="28"/>
        </w:rPr>
        <w:t xml:space="preserve">% объема добавленной стоимости </w:t>
      </w:r>
      <w:r w:rsidR="00071830" w:rsidRPr="00E91216">
        <w:rPr>
          <w:sz w:val="28"/>
          <w:szCs w:val="28"/>
        </w:rPr>
        <w:t>приходится на</w:t>
      </w:r>
      <w:r w:rsidR="00BD577C" w:rsidRPr="00E91216">
        <w:rPr>
          <w:sz w:val="28"/>
          <w:szCs w:val="28"/>
        </w:rPr>
        <w:t xml:space="preserve"> предприятия по добыче полезных ископаемых, </w:t>
      </w:r>
      <w:r w:rsidR="00071830" w:rsidRPr="00E91216">
        <w:rPr>
          <w:sz w:val="28"/>
          <w:szCs w:val="28"/>
        </w:rPr>
        <w:t>по транспортировке и хранению</w:t>
      </w:r>
      <w:r w:rsidR="00D5172E" w:rsidRPr="00E91216">
        <w:rPr>
          <w:sz w:val="28"/>
          <w:szCs w:val="28"/>
        </w:rPr>
        <w:t xml:space="preserve"> – </w:t>
      </w:r>
      <w:r w:rsidR="00BD3599" w:rsidRPr="00E91216">
        <w:rPr>
          <w:sz w:val="28"/>
          <w:szCs w:val="28"/>
        </w:rPr>
        <w:t>4,4</w:t>
      </w:r>
      <w:r w:rsidR="00D5172E" w:rsidRPr="00E91216">
        <w:rPr>
          <w:sz w:val="28"/>
          <w:szCs w:val="28"/>
        </w:rPr>
        <w:t xml:space="preserve">%, обеспечение электрической энергией, газом и паром; кондиционирование воздуха – </w:t>
      </w:r>
      <w:r w:rsidR="00BD3599" w:rsidRPr="00E91216">
        <w:rPr>
          <w:sz w:val="28"/>
          <w:szCs w:val="28"/>
        </w:rPr>
        <w:t>2,2</w:t>
      </w:r>
      <w:r w:rsidR="00D5172E" w:rsidRPr="00E91216">
        <w:rPr>
          <w:sz w:val="28"/>
          <w:szCs w:val="28"/>
        </w:rPr>
        <w:t>%. С уч</w:t>
      </w:r>
      <w:r w:rsidR="009D08EF" w:rsidRPr="00E91216">
        <w:rPr>
          <w:sz w:val="28"/>
          <w:szCs w:val="28"/>
        </w:rPr>
        <w:t xml:space="preserve">етом </w:t>
      </w:r>
      <w:r w:rsidR="006A2916">
        <w:rPr>
          <w:sz w:val="28"/>
          <w:szCs w:val="28"/>
        </w:rPr>
        <w:t>отрицательной</w:t>
      </w:r>
      <w:r w:rsidR="009D08EF" w:rsidRPr="00E91216">
        <w:rPr>
          <w:sz w:val="28"/>
          <w:szCs w:val="28"/>
        </w:rPr>
        <w:t xml:space="preserve"> динамики</w:t>
      </w:r>
      <w:r w:rsidR="0045773F" w:rsidRPr="00E91216">
        <w:rPr>
          <w:sz w:val="28"/>
          <w:szCs w:val="28"/>
        </w:rPr>
        <w:t xml:space="preserve"> промышленного производства</w:t>
      </w:r>
      <w:r w:rsidR="00071830" w:rsidRPr="00E91216">
        <w:rPr>
          <w:sz w:val="28"/>
          <w:szCs w:val="28"/>
        </w:rPr>
        <w:t xml:space="preserve"> предприятий</w:t>
      </w:r>
      <w:r w:rsidR="009D08EF" w:rsidRPr="00E91216">
        <w:rPr>
          <w:sz w:val="28"/>
          <w:szCs w:val="28"/>
        </w:rPr>
        <w:t xml:space="preserve"> нефтяной отрасли в плановый период рост</w:t>
      </w:r>
      <w:r w:rsidR="00071830" w:rsidRPr="00E91216">
        <w:rPr>
          <w:sz w:val="28"/>
          <w:szCs w:val="28"/>
        </w:rPr>
        <w:t xml:space="preserve"> показателя</w:t>
      </w:r>
      <w:r w:rsidR="006A2916">
        <w:rPr>
          <w:sz w:val="28"/>
          <w:szCs w:val="28"/>
        </w:rPr>
        <w:t xml:space="preserve"> не прогнозируется.</w:t>
      </w:r>
    </w:p>
    <w:p w:rsidR="0045773F" w:rsidRDefault="0045773F" w:rsidP="002D1004">
      <w:pPr>
        <w:pStyle w:val="1"/>
        <w:spacing w:line="240" w:lineRule="auto"/>
        <w:rPr>
          <w:rFonts w:ascii="Times New Roman" w:hAnsi="Times New Roman" w:cs="Times New Roman"/>
          <w:color w:val="auto"/>
        </w:rPr>
      </w:pPr>
      <w:r w:rsidRPr="00F62A3E">
        <w:rPr>
          <w:rFonts w:ascii="Times New Roman" w:hAnsi="Times New Roman" w:cs="Times New Roman"/>
          <w:color w:val="auto"/>
        </w:rPr>
        <w:t>Объем отгруженных товаров собственного производства, выполненных работ и услуг собственными силами.</w:t>
      </w:r>
    </w:p>
    <w:p w:rsidR="00F62A3E" w:rsidRPr="00F62A3E" w:rsidRDefault="00F62A3E" w:rsidP="002D1004"/>
    <w:p w:rsidR="00463862" w:rsidRPr="00463862" w:rsidRDefault="00463862" w:rsidP="002D1004">
      <w:pPr>
        <w:spacing w:line="240" w:lineRule="auto"/>
        <w:rPr>
          <w:sz w:val="28"/>
          <w:szCs w:val="28"/>
        </w:rPr>
      </w:pPr>
      <w:r w:rsidRPr="00463862">
        <w:rPr>
          <w:sz w:val="28"/>
          <w:szCs w:val="28"/>
        </w:rPr>
        <w:t>Объем отгруженной продукции промышленных предприятий за январь-август  текущего года составил 14 093 771 тыс</w:t>
      </w:r>
      <w:proofErr w:type="gramStart"/>
      <w:r w:rsidRPr="00463862">
        <w:rPr>
          <w:sz w:val="28"/>
          <w:szCs w:val="28"/>
        </w:rPr>
        <w:t>.р</w:t>
      </w:r>
      <w:proofErr w:type="gramEnd"/>
      <w:r w:rsidRPr="00463862">
        <w:rPr>
          <w:sz w:val="28"/>
          <w:szCs w:val="28"/>
        </w:rPr>
        <w:t>уб. (Справочно январь-август 2022 год -13 043 930 тыс.руб., ИПП -101,5 %). К аналогичному периоду прошлого года составляет - 104,9% или на 560,497 млн</w:t>
      </w:r>
      <w:proofErr w:type="gramStart"/>
      <w:r w:rsidRPr="00463862">
        <w:rPr>
          <w:sz w:val="28"/>
          <w:szCs w:val="28"/>
        </w:rPr>
        <w:t>.р</w:t>
      </w:r>
      <w:proofErr w:type="gramEnd"/>
      <w:r w:rsidRPr="00463862">
        <w:rPr>
          <w:sz w:val="28"/>
          <w:szCs w:val="28"/>
        </w:rPr>
        <w:t>уб. больше.</w:t>
      </w:r>
    </w:p>
    <w:p w:rsidR="00463862" w:rsidRPr="00463862" w:rsidRDefault="00463862" w:rsidP="002D1004">
      <w:pPr>
        <w:spacing w:line="240" w:lineRule="auto"/>
        <w:rPr>
          <w:sz w:val="28"/>
          <w:szCs w:val="28"/>
        </w:rPr>
      </w:pPr>
      <w:r w:rsidRPr="00463862">
        <w:rPr>
          <w:sz w:val="28"/>
          <w:szCs w:val="28"/>
        </w:rPr>
        <w:t xml:space="preserve">Индекс промышленного производства за январь </w:t>
      </w:r>
      <w:proofErr w:type="gramStart"/>
      <w:r w:rsidRPr="00463862">
        <w:rPr>
          <w:sz w:val="28"/>
          <w:szCs w:val="28"/>
        </w:rPr>
        <w:t>–а</w:t>
      </w:r>
      <w:proofErr w:type="gramEnd"/>
      <w:r w:rsidRPr="00463862">
        <w:rPr>
          <w:sz w:val="28"/>
          <w:szCs w:val="28"/>
        </w:rPr>
        <w:t>вгуст 2023 года – 87,1 %  (за август – 83,4%) . (Справочно за 2023 г.: январь-июнь – 88,3%, январь-июль – 87,6%).</w:t>
      </w:r>
    </w:p>
    <w:p w:rsidR="00463862" w:rsidRDefault="00463862" w:rsidP="002D1004">
      <w:pPr>
        <w:spacing w:line="240" w:lineRule="auto"/>
        <w:rPr>
          <w:sz w:val="28"/>
          <w:szCs w:val="28"/>
        </w:rPr>
      </w:pPr>
      <w:r w:rsidRPr="00463862">
        <w:rPr>
          <w:sz w:val="28"/>
          <w:szCs w:val="28"/>
        </w:rPr>
        <w:t xml:space="preserve">Показатель ИПП Азнакаевского муниципального района формируют 12 предприятий. Из них 8 предприятий относятся к нефтедобывающей отрасли, сервисным компаниям и сопутствующим производствам (изготовление оборудования, техники, выполнение строительных работ и т.д.). </w:t>
      </w:r>
    </w:p>
    <w:p w:rsidR="00684C19" w:rsidRDefault="00E168E6" w:rsidP="002D1004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684C19">
        <w:rPr>
          <w:sz w:val="28"/>
          <w:szCs w:val="28"/>
        </w:rPr>
        <w:t xml:space="preserve">плановый период прогнозируется </w:t>
      </w:r>
      <w:r w:rsidR="006A2916">
        <w:rPr>
          <w:sz w:val="28"/>
          <w:szCs w:val="28"/>
        </w:rPr>
        <w:t>незначительный рост промышленного производства.</w:t>
      </w:r>
    </w:p>
    <w:p w:rsidR="00684C19" w:rsidRDefault="00340615" w:rsidP="002D1004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Индекс промышленного производства п</w:t>
      </w:r>
      <w:r w:rsidR="00E97B1A">
        <w:rPr>
          <w:sz w:val="28"/>
          <w:szCs w:val="28"/>
        </w:rPr>
        <w:t xml:space="preserve">о итогам </w:t>
      </w:r>
      <w:r w:rsidR="00AA37DC">
        <w:rPr>
          <w:sz w:val="28"/>
          <w:szCs w:val="28"/>
        </w:rPr>
        <w:t>202</w:t>
      </w:r>
      <w:r w:rsidR="006A2916">
        <w:rPr>
          <w:sz w:val="28"/>
          <w:szCs w:val="28"/>
        </w:rPr>
        <w:t>3</w:t>
      </w:r>
      <w:r w:rsidR="00E97B1A">
        <w:rPr>
          <w:sz w:val="28"/>
          <w:szCs w:val="28"/>
        </w:rPr>
        <w:t xml:space="preserve"> года </w:t>
      </w:r>
      <w:r w:rsidR="00684C19">
        <w:rPr>
          <w:sz w:val="28"/>
          <w:szCs w:val="28"/>
        </w:rPr>
        <w:t xml:space="preserve">ожидаем на уровне </w:t>
      </w:r>
      <w:r w:rsidR="004B0A53">
        <w:rPr>
          <w:sz w:val="28"/>
          <w:szCs w:val="28"/>
        </w:rPr>
        <w:t>98,8</w:t>
      </w:r>
      <w:r w:rsidR="00684C19">
        <w:rPr>
          <w:sz w:val="28"/>
          <w:szCs w:val="28"/>
        </w:rPr>
        <w:t xml:space="preserve">%, в плановый </w:t>
      </w:r>
      <w:r w:rsidR="00E71A7F">
        <w:rPr>
          <w:sz w:val="28"/>
          <w:szCs w:val="28"/>
        </w:rPr>
        <w:t xml:space="preserve">период- </w:t>
      </w:r>
      <w:r w:rsidR="00EB6587">
        <w:rPr>
          <w:sz w:val="28"/>
          <w:szCs w:val="28"/>
        </w:rPr>
        <w:t>99</w:t>
      </w:r>
      <w:r w:rsidR="00684C19">
        <w:rPr>
          <w:sz w:val="28"/>
          <w:szCs w:val="28"/>
        </w:rPr>
        <w:t>%</w:t>
      </w:r>
      <w:r w:rsidR="00EB6587">
        <w:rPr>
          <w:sz w:val="28"/>
          <w:szCs w:val="28"/>
        </w:rPr>
        <w:t xml:space="preserve"> -100,7</w:t>
      </w:r>
      <w:r w:rsidR="004B0A53">
        <w:rPr>
          <w:sz w:val="28"/>
          <w:szCs w:val="28"/>
        </w:rPr>
        <w:t>%</w:t>
      </w:r>
      <w:r w:rsidR="00684C19">
        <w:rPr>
          <w:sz w:val="28"/>
          <w:szCs w:val="28"/>
        </w:rPr>
        <w:t>.</w:t>
      </w:r>
    </w:p>
    <w:p w:rsidR="004748A6" w:rsidRPr="00F62A3E" w:rsidRDefault="005E3C9C" w:rsidP="002D1004">
      <w:pPr>
        <w:pStyle w:val="1"/>
        <w:rPr>
          <w:rFonts w:ascii="Times New Roman" w:hAnsi="Times New Roman" w:cs="Times New Roman"/>
          <w:color w:val="auto"/>
        </w:rPr>
      </w:pPr>
      <w:r w:rsidRPr="00F62A3E">
        <w:rPr>
          <w:rFonts w:ascii="Times New Roman" w:hAnsi="Times New Roman" w:cs="Times New Roman"/>
          <w:color w:val="auto"/>
        </w:rPr>
        <w:t>Оборот малых и средних предприятий</w:t>
      </w:r>
    </w:p>
    <w:p w:rsidR="00FE09EC" w:rsidRDefault="00EE5808" w:rsidP="002D1004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Оборот</w:t>
      </w:r>
      <w:r w:rsidR="004748A6" w:rsidRPr="004748A6">
        <w:rPr>
          <w:sz w:val="28"/>
          <w:szCs w:val="28"/>
        </w:rPr>
        <w:t xml:space="preserve"> малых и средних предприятий</w:t>
      </w:r>
      <w:r>
        <w:rPr>
          <w:sz w:val="28"/>
          <w:szCs w:val="28"/>
        </w:rPr>
        <w:t xml:space="preserve"> </w:t>
      </w:r>
      <w:r w:rsidR="00087A47">
        <w:rPr>
          <w:sz w:val="28"/>
          <w:szCs w:val="28"/>
        </w:rPr>
        <w:t>в 2023 году составил 9,3 млрд. рублей и увеличился на 29% , по сравнению с 2021 годом</w:t>
      </w:r>
      <w:r w:rsidR="00E97B1A">
        <w:rPr>
          <w:sz w:val="28"/>
          <w:szCs w:val="28"/>
        </w:rPr>
        <w:t xml:space="preserve">. </w:t>
      </w:r>
      <w:r w:rsidR="00087A47">
        <w:rPr>
          <w:sz w:val="28"/>
          <w:szCs w:val="28"/>
        </w:rPr>
        <w:t>Значительн</w:t>
      </w:r>
      <w:r w:rsidR="00FE09EC">
        <w:rPr>
          <w:sz w:val="28"/>
          <w:szCs w:val="28"/>
        </w:rPr>
        <w:t>ой динамике</w:t>
      </w:r>
      <w:r w:rsidR="00087A47">
        <w:rPr>
          <w:sz w:val="28"/>
          <w:szCs w:val="28"/>
        </w:rPr>
        <w:t xml:space="preserve"> показателя</w:t>
      </w:r>
      <w:r w:rsidR="00FE09EC">
        <w:rPr>
          <w:sz w:val="28"/>
          <w:szCs w:val="28"/>
        </w:rPr>
        <w:t xml:space="preserve"> способствовал переход </w:t>
      </w:r>
      <w:r w:rsidR="00E71A7F">
        <w:rPr>
          <w:sz w:val="28"/>
          <w:szCs w:val="28"/>
        </w:rPr>
        <w:t xml:space="preserve">одного крупного </w:t>
      </w:r>
      <w:r w:rsidR="00FE09EC">
        <w:rPr>
          <w:sz w:val="28"/>
          <w:szCs w:val="28"/>
        </w:rPr>
        <w:t>предприятия в</w:t>
      </w:r>
      <w:r w:rsidR="00E71A7F">
        <w:rPr>
          <w:sz w:val="28"/>
          <w:szCs w:val="28"/>
        </w:rPr>
        <w:t xml:space="preserve"> категорию</w:t>
      </w:r>
      <w:r w:rsidR="00FE09EC">
        <w:rPr>
          <w:sz w:val="28"/>
          <w:szCs w:val="28"/>
        </w:rPr>
        <w:t xml:space="preserve"> </w:t>
      </w:r>
      <w:r w:rsidR="00E71A7F">
        <w:rPr>
          <w:sz w:val="28"/>
          <w:szCs w:val="28"/>
        </w:rPr>
        <w:t>«</w:t>
      </w:r>
      <w:r w:rsidR="00FE09EC">
        <w:rPr>
          <w:sz w:val="28"/>
          <w:szCs w:val="28"/>
        </w:rPr>
        <w:t>средние</w:t>
      </w:r>
      <w:r w:rsidR="00E71A7F">
        <w:rPr>
          <w:sz w:val="28"/>
          <w:szCs w:val="28"/>
        </w:rPr>
        <w:t>»</w:t>
      </w:r>
      <w:r w:rsidR="00FE09EC">
        <w:rPr>
          <w:sz w:val="28"/>
          <w:szCs w:val="28"/>
        </w:rPr>
        <w:t xml:space="preserve"> (ООО «ТЕХБУРСЕРВИС).</w:t>
      </w:r>
      <w:r w:rsidR="00087A47">
        <w:rPr>
          <w:sz w:val="28"/>
          <w:szCs w:val="28"/>
        </w:rPr>
        <w:t xml:space="preserve"> </w:t>
      </w:r>
      <w:r>
        <w:rPr>
          <w:sz w:val="28"/>
          <w:szCs w:val="28"/>
        </w:rPr>
        <w:t>Прогнозируем сохранение</w:t>
      </w:r>
      <w:r w:rsidR="00FE09EC">
        <w:rPr>
          <w:sz w:val="28"/>
          <w:szCs w:val="28"/>
        </w:rPr>
        <w:t xml:space="preserve"> незначительной</w:t>
      </w:r>
      <w:r>
        <w:rPr>
          <w:sz w:val="28"/>
          <w:szCs w:val="28"/>
        </w:rPr>
        <w:t xml:space="preserve"> положительной динамики </w:t>
      </w:r>
      <w:r w:rsidR="003A7E40">
        <w:rPr>
          <w:sz w:val="28"/>
          <w:szCs w:val="28"/>
        </w:rPr>
        <w:t>в плановый период</w:t>
      </w:r>
      <w:r w:rsidR="004748A6">
        <w:rPr>
          <w:sz w:val="28"/>
          <w:szCs w:val="28"/>
        </w:rPr>
        <w:t xml:space="preserve"> </w:t>
      </w:r>
      <w:r w:rsidR="003A7E40">
        <w:rPr>
          <w:sz w:val="28"/>
          <w:szCs w:val="28"/>
        </w:rPr>
        <w:t xml:space="preserve">на </w:t>
      </w:r>
      <w:r w:rsidR="00FE09EC">
        <w:rPr>
          <w:sz w:val="28"/>
          <w:szCs w:val="28"/>
        </w:rPr>
        <w:t>2</w:t>
      </w:r>
      <w:r>
        <w:rPr>
          <w:sz w:val="28"/>
          <w:szCs w:val="28"/>
        </w:rPr>
        <w:t>-</w:t>
      </w:r>
      <w:r w:rsidR="00FE09EC">
        <w:rPr>
          <w:sz w:val="28"/>
          <w:szCs w:val="28"/>
        </w:rPr>
        <w:t>3</w:t>
      </w:r>
      <w:r>
        <w:rPr>
          <w:sz w:val="28"/>
          <w:szCs w:val="28"/>
        </w:rPr>
        <w:t>%, за счет развития</w:t>
      </w:r>
      <w:r w:rsidR="00FE09EC">
        <w:rPr>
          <w:sz w:val="28"/>
          <w:szCs w:val="28"/>
        </w:rPr>
        <w:t xml:space="preserve"> действующих предприятий,</w:t>
      </w:r>
      <w:r>
        <w:rPr>
          <w:sz w:val="28"/>
          <w:szCs w:val="28"/>
        </w:rPr>
        <w:t xml:space="preserve"> промышленных площадок муниципального уровня и</w:t>
      </w:r>
      <w:r w:rsidR="00FE09EC">
        <w:rPr>
          <w:sz w:val="28"/>
          <w:szCs w:val="28"/>
        </w:rPr>
        <w:t xml:space="preserve"> показателей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сельхозтоваропроизводителей</w:t>
      </w:r>
      <w:proofErr w:type="spellEnd"/>
      <w:r>
        <w:rPr>
          <w:sz w:val="28"/>
          <w:szCs w:val="28"/>
        </w:rPr>
        <w:t>.</w:t>
      </w:r>
    </w:p>
    <w:p w:rsidR="004748A6" w:rsidRDefault="003A7E40" w:rsidP="002D1004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Доля малого и среднего бизнеса в валовом территориальном продукте прогнозируется </w:t>
      </w:r>
      <w:r w:rsidR="00EE5808">
        <w:rPr>
          <w:sz w:val="28"/>
          <w:szCs w:val="28"/>
        </w:rPr>
        <w:t>с</w:t>
      </w:r>
      <w:r>
        <w:rPr>
          <w:sz w:val="28"/>
          <w:szCs w:val="28"/>
        </w:rPr>
        <w:t xml:space="preserve"> небольшим ростом в 0,5%.</w:t>
      </w:r>
      <w:r w:rsidR="00340615">
        <w:rPr>
          <w:sz w:val="28"/>
          <w:szCs w:val="28"/>
        </w:rPr>
        <w:t xml:space="preserve"> На показатель также оказывает влияние цена на нефть</w:t>
      </w:r>
      <w:r w:rsidR="00FE09EC">
        <w:rPr>
          <w:sz w:val="28"/>
          <w:szCs w:val="28"/>
        </w:rPr>
        <w:t xml:space="preserve"> и рост промышленного производства</w:t>
      </w:r>
      <w:r w:rsidR="00340615">
        <w:rPr>
          <w:sz w:val="28"/>
          <w:szCs w:val="28"/>
        </w:rPr>
        <w:t>.</w:t>
      </w:r>
    </w:p>
    <w:p w:rsidR="00965D01" w:rsidRPr="00F62A3E" w:rsidRDefault="003A7E40" w:rsidP="002D1004">
      <w:pPr>
        <w:pStyle w:val="1"/>
        <w:rPr>
          <w:rFonts w:ascii="Times New Roman" w:hAnsi="Times New Roman" w:cs="Times New Roman"/>
          <w:color w:val="auto"/>
        </w:rPr>
      </w:pPr>
      <w:r w:rsidRPr="00F62A3E">
        <w:rPr>
          <w:rFonts w:ascii="Times New Roman" w:hAnsi="Times New Roman" w:cs="Times New Roman"/>
          <w:color w:val="auto"/>
        </w:rPr>
        <w:t>Сельское хозяйство</w:t>
      </w:r>
    </w:p>
    <w:p w:rsidR="00C656A1" w:rsidRDefault="00872AA3" w:rsidP="002D1004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bookmarkStart w:id="0" w:name="_GoBack"/>
      <w:bookmarkEnd w:id="0"/>
      <w:r w:rsidR="007D2774">
        <w:rPr>
          <w:sz w:val="28"/>
          <w:szCs w:val="28"/>
        </w:rPr>
        <w:t>период до 2026 года прогнозируется не значительный</w:t>
      </w:r>
      <w:r w:rsidRPr="00872AA3">
        <w:rPr>
          <w:sz w:val="28"/>
          <w:szCs w:val="28"/>
        </w:rPr>
        <w:t xml:space="preserve"> </w:t>
      </w:r>
      <w:r w:rsidRPr="00741DED">
        <w:rPr>
          <w:sz w:val="28"/>
          <w:szCs w:val="28"/>
        </w:rPr>
        <w:t>рост валовой продукции сельского хозяйства во всех категориях хозяйств, при благоприятн</w:t>
      </w:r>
      <w:r>
        <w:rPr>
          <w:sz w:val="28"/>
          <w:szCs w:val="28"/>
        </w:rPr>
        <w:t>ых природных условиях</w:t>
      </w:r>
      <w:r w:rsidR="007D277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5E11E8">
        <w:rPr>
          <w:sz w:val="28"/>
          <w:szCs w:val="28"/>
        </w:rPr>
        <w:t>На сегодняшний день отмечается увеличение денежной выручки от реализации сельскохозяйственной продукции за счет увелич</w:t>
      </w:r>
      <w:r w:rsidR="00746955">
        <w:rPr>
          <w:sz w:val="28"/>
          <w:szCs w:val="28"/>
        </w:rPr>
        <w:t>ения объема продаж, при снижении</w:t>
      </w:r>
      <w:r w:rsidR="005E11E8">
        <w:rPr>
          <w:sz w:val="28"/>
          <w:szCs w:val="28"/>
        </w:rPr>
        <w:t xml:space="preserve"> цен на молоко и зерновые. Рост </w:t>
      </w:r>
      <w:r w:rsidR="00EE5808">
        <w:rPr>
          <w:sz w:val="28"/>
          <w:szCs w:val="28"/>
        </w:rPr>
        <w:t>производства</w:t>
      </w:r>
      <w:r w:rsidR="005E11E8">
        <w:rPr>
          <w:sz w:val="28"/>
          <w:szCs w:val="28"/>
        </w:rPr>
        <w:t xml:space="preserve"> сельхозпродукции обеспечивается благодаря</w:t>
      </w:r>
      <w:r w:rsidR="00EE5808">
        <w:rPr>
          <w:sz w:val="28"/>
          <w:szCs w:val="28"/>
        </w:rPr>
        <w:t xml:space="preserve"> госпрограмм</w:t>
      </w:r>
      <w:r w:rsidR="005E11E8">
        <w:rPr>
          <w:sz w:val="28"/>
          <w:szCs w:val="28"/>
        </w:rPr>
        <w:t>ам</w:t>
      </w:r>
      <w:r w:rsidR="00EE5808">
        <w:rPr>
          <w:sz w:val="28"/>
          <w:szCs w:val="28"/>
        </w:rPr>
        <w:t xml:space="preserve"> поддержки КФХ, сельскохозяйственных произ</w:t>
      </w:r>
      <w:r w:rsidR="00746955">
        <w:rPr>
          <w:sz w:val="28"/>
          <w:szCs w:val="28"/>
        </w:rPr>
        <w:t>водственных кооперативов, ЛПХ,</w:t>
      </w:r>
      <w:r w:rsidR="005E11E8">
        <w:rPr>
          <w:sz w:val="28"/>
          <w:szCs w:val="28"/>
        </w:rPr>
        <w:t xml:space="preserve"> р</w:t>
      </w:r>
      <w:r w:rsidR="00EE5808">
        <w:rPr>
          <w:sz w:val="28"/>
          <w:szCs w:val="28"/>
        </w:rPr>
        <w:t>еализаци</w:t>
      </w:r>
      <w:r w:rsidR="005E11E8">
        <w:rPr>
          <w:sz w:val="28"/>
          <w:szCs w:val="28"/>
        </w:rPr>
        <w:t>и</w:t>
      </w:r>
      <w:r w:rsidR="00EE5808">
        <w:rPr>
          <w:sz w:val="28"/>
          <w:szCs w:val="28"/>
        </w:rPr>
        <w:t xml:space="preserve"> инвестиционных проектов, внедрение новых технологий</w:t>
      </w:r>
      <w:r w:rsidR="005E11E8">
        <w:rPr>
          <w:sz w:val="28"/>
          <w:szCs w:val="28"/>
        </w:rPr>
        <w:t xml:space="preserve">, в том числе </w:t>
      </w:r>
      <w:proofErr w:type="spellStart"/>
      <w:r w:rsidR="005E11E8">
        <w:rPr>
          <w:sz w:val="28"/>
          <w:szCs w:val="28"/>
        </w:rPr>
        <w:t>цифровизаци</w:t>
      </w:r>
      <w:r w:rsidR="00746955">
        <w:rPr>
          <w:sz w:val="28"/>
          <w:szCs w:val="28"/>
        </w:rPr>
        <w:t>и</w:t>
      </w:r>
      <w:proofErr w:type="spellEnd"/>
      <w:r w:rsidR="005E11E8">
        <w:rPr>
          <w:sz w:val="28"/>
          <w:szCs w:val="28"/>
        </w:rPr>
        <w:t xml:space="preserve"> в АПК.</w:t>
      </w:r>
      <w:r w:rsidR="00340615">
        <w:rPr>
          <w:sz w:val="28"/>
          <w:szCs w:val="28"/>
        </w:rPr>
        <w:t xml:space="preserve"> </w:t>
      </w:r>
    </w:p>
    <w:p w:rsidR="003A7E40" w:rsidRPr="00F62A3E" w:rsidRDefault="003A7E40" w:rsidP="002D1004">
      <w:pPr>
        <w:pStyle w:val="1"/>
        <w:rPr>
          <w:rFonts w:ascii="Times New Roman" w:hAnsi="Times New Roman" w:cs="Times New Roman"/>
          <w:color w:val="auto"/>
        </w:rPr>
      </w:pPr>
      <w:r w:rsidRPr="00F62A3E">
        <w:rPr>
          <w:rFonts w:ascii="Times New Roman" w:hAnsi="Times New Roman" w:cs="Times New Roman"/>
          <w:color w:val="auto"/>
        </w:rPr>
        <w:t>Инвестиции</w:t>
      </w:r>
    </w:p>
    <w:p w:rsidR="003A7E40" w:rsidRDefault="003A7E40" w:rsidP="002D1004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Объем инвестиций в основной капитал за счет всех источник</w:t>
      </w:r>
      <w:r w:rsidR="00EE5808">
        <w:rPr>
          <w:sz w:val="28"/>
          <w:szCs w:val="28"/>
        </w:rPr>
        <w:t xml:space="preserve">ов финансирования по итогам </w:t>
      </w:r>
      <w:r w:rsidR="00AA37DC">
        <w:rPr>
          <w:sz w:val="28"/>
          <w:szCs w:val="28"/>
        </w:rPr>
        <w:t>202</w:t>
      </w:r>
      <w:r w:rsidR="005E11E8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ожидается на уровне </w:t>
      </w:r>
      <w:r w:rsidR="00650453">
        <w:rPr>
          <w:sz w:val="28"/>
          <w:szCs w:val="28"/>
        </w:rPr>
        <w:t>6,6</w:t>
      </w:r>
      <w:r>
        <w:rPr>
          <w:sz w:val="28"/>
          <w:szCs w:val="28"/>
        </w:rPr>
        <w:t xml:space="preserve"> миллиардов рублей.</w:t>
      </w:r>
    </w:p>
    <w:p w:rsidR="000559D4" w:rsidRPr="000559D4" w:rsidRDefault="00E5452A" w:rsidP="002D1004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Значительная часть</w:t>
      </w:r>
      <w:r w:rsidR="000559D4">
        <w:rPr>
          <w:sz w:val="28"/>
          <w:szCs w:val="28"/>
        </w:rPr>
        <w:t xml:space="preserve"> инвестиций</w:t>
      </w:r>
      <w:r w:rsidR="003A7E40">
        <w:rPr>
          <w:sz w:val="28"/>
          <w:szCs w:val="28"/>
        </w:rPr>
        <w:t xml:space="preserve"> в районе традиционно </w:t>
      </w:r>
      <w:r w:rsidR="00650453">
        <w:rPr>
          <w:sz w:val="28"/>
          <w:szCs w:val="28"/>
        </w:rPr>
        <w:t>приходитс</w:t>
      </w:r>
      <w:r w:rsidR="000559D4">
        <w:rPr>
          <w:sz w:val="28"/>
          <w:szCs w:val="28"/>
        </w:rPr>
        <w:t>я на</w:t>
      </w:r>
      <w:r w:rsidR="003A7E40">
        <w:rPr>
          <w:sz w:val="28"/>
          <w:szCs w:val="28"/>
        </w:rPr>
        <w:t xml:space="preserve"> проекты нефтяных предприятий</w:t>
      </w:r>
      <w:r>
        <w:rPr>
          <w:sz w:val="28"/>
          <w:szCs w:val="28"/>
        </w:rPr>
        <w:t>, направленных</w:t>
      </w:r>
      <w:r w:rsidR="00340615">
        <w:rPr>
          <w:sz w:val="28"/>
          <w:szCs w:val="28"/>
        </w:rPr>
        <w:t xml:space="preserve"> на </w:t>
      </w:r>
      <w:r w:rsidR="00650453">
        <w:rPr>
          <w:sz w:val="28"/>
          <w:szCs w:val="28"/>
        </w:rPr>
        <w:t>укрепление материально-технической базы</w:t>
      </w:r>
      <w:r w:rsidR="007E46E5">
        <w:rPr>
          <w:sz w:val="28"/>
          <w:szCs w:val="28"/>
        </w:rPr>
        <w:t>,</w:t>
      </w:r>
      <w:r>
        <w:rPr>
          <w:sz w:val="28"/>
          <w:szCs w:val="28"/>
        </w:rPr>
        <w:t xml:space="preserve"> и составляет</w:t>
      </w:r>
      <w:r w:rsidR="007E46E5">
        <w:rPr>
          <w:sz w:val="28"/>
          <w:szCs w:val="28"/>
        </w:rPr>
        <w:t xml:space="preserve"> ежегодно</w:t>
      </w:r>
      <w:r>
        <w:rPr>
          <w:sz w:val="28"/>
          <w:szCs w:val="28"/>
        </w:rPr>
        <w:t xml:space="preserve"> порядка</w:t>
      </w:r>
      <w:r w:rsidR="007E46E5">
        <w:rPr>
          <w:sz w:val="28"/>
          <w:szCs w:val="28"/>
        </w:rPr>
        <w:t xml:space="preserve"> 1,5 -</w:t>
      </w:r>
      <w:r>
        <w:rPr>
          <w:sz w:val="28"/>
          <w:szCs w:val="28"/>
        </w:rPr>
        <w:t xml:space="preserve"> 2 млрд.рублей</w:t>
      </w:r>
      <w:r w:rsidR="003A7E40">
        <w:rPr>
          <w:sz w:val="28"/>
          <w:szCs w:val="28"/>
        </w:rPr>
        <w:t>.</w:t>
      </w:r>
      <w:r w:rsidR="001C2BB0" w:rsidRPr="001C2BB0">
        <w:rPr>
          <w:sz w:val="28"/>
          <w:szCs w:val="28"/>
        </w:rPr>
        <w:t xml:space="preserve"> </w:t>
      </w:r>
      <w:r w:rsidR="007E46E5">
        <w:rPr>
          <w:sz w:val="28"/>
          <w:szCs w:val="28"/>
        </w:rPr>
        <w:t>В текущем году б</w:t>
      </w:r>
      <w:r w:rsidR="007240E3">
        <w:rPr>
          <w:sz w:val="28"/>
          <w:szCs w:val="28"/>
        </w:rPr>
        <w:t>олее 2,5</w:t>
      </w:r>
      <w:r w:rsidR="00650453">
        <w:rPr>
          <w:sz w:val="28"/>
          <w:szCs w:val="28"/>
        </w:rPr>
        <w:t xml:space="preserve"> миллиардов рублей</w:t>
      </w:r>
      <w:r w:rsidR="007E46E5">
        <w:rPr>
          <w:sz w:val="28"/>
          <w:szCs w:val="28"/>
        </w:rPr>
        <w:t xml:space="preserve"> инвестиций</w:t>
      </w:r>
      <w:r w:rsidR="006504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запланировано </w:t>
      </w:r>
      <w:proofErr w:type="spellStart"/>
      <w:r>
        <w:rPr>
          <w:sz w:val="28"/>
          <w:szCs w:val="28"/>
        </w:rPr>
        <w:t>сельхозформированиями</w:t>
      </w:r>
      <w:proofErr w:type="spellEnd"/>
      <w:r>
        <w:rPr>
          <w:sz w:val="28"/>
          <w:szCs w:val="28"/>
        </w:rPr>
        <w:t xml:space="preserve"> на приобретение племенного поголовья КРС. </w:t>
      </w:r>
      <w:r w:rsidR="00650453">
        <w:rPr>
          <w:sz w:val="28"/>
          <w:szCs w:val="28"/>
        </w:rPr>
        <w:t>Порядка 1 миллиарда рублей направляется в социальную сферу за счет федеральных и республиканских программ</w:t>
      </w:r>
      <w:r>
        <w:rPr>
          <w:sz w:val="28"/>
          <w:szCs w:val="28"/>
        </w:rPr>
        <w:t xml:space="preserve">. Предприятия транспорта, дорожного хозяйства, торговли, строительной отрасли, резиденты </w:t>
      </w:r>
      <w:proofErr w:type="spellStart"/>
      <w:r>
        <w:rPr>
          <w:sz w:val="28"/>
          <w:szCs w:val="28"/>
        </w:rPr>
        <w:t>промпарков</w:t>
      </w:r>
      <w:proofErr w:type="spellEnd"/>
      <w:r>
        <w:rPr>
          <w:sz w:val="28"/>
          <w:szCs w:val="28"/>
        </w:rPr>
        <w:t>, ежегодно направляют инвестиции в основной капитал в объеме около одного млрд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ублей.</w:t>
      </w:r>
    </w:p>
    <w:p w:rsidR="00B01B01" w:rsidRDefault="00B01B01" w:rsidP="002D1004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В</w:t>
      </w:r>
      <w:r w:rsidR="00DB11A5">
        <w:rPr>
          <w:sz w:val="28"/>
          <w:szCs w:val="28"/>
        </w:rPr>
        <w:t xml:space="preserve"> 2023 году темп роста в сопоставимых ценах по реалистичному сценарию прогнозируется  на уровне 90,2 %, по оптимистическому – 98,5%. В плановый </w:t>
      </w:r>
      <w:r>
        <w:rPr>
          <w:sz w:val="28"/>
          <w:szCs w:val="28"/>
        </w:rPr>
        <w:t xml:space="preserve">период </w:t>
      </w:r>
      <w:r w:rsidR="0007743E">
        <w:rPr>
          <w:sz w:val="28"/>
          <w:szCs w:val="28"/>
        </w:rPr>
        <w:t>202</w:t>
      </w:r>
      <w:r w:rsidR="00DB11A5">
        <w:rPr>
          <w:sz w:val="28"/>
          <w:szCs w:val="28"/>
        </w:rPr>
        <w:t>5-</w:t>
      </w:r>
      <w:r w:rsidR="0007743E">
        <w:rPr>
          <w:sz w:val="28"/>
          <w:szCs w:val="28"/>
        </w:rPr>
        <w:t>2026</w:t>
      </w:r>
      <w:r>
        <w:rPr>
          <w:sz w:val="28"/>
          <w:szCs w:val="28"/>
        </w:rPr>
        <w:t xml:space="preserve"> год</w:t>
      </w:r>
      <w:r w:rsidR="00E5452A">
        <w:rPr>
          <w:sz w:val="28"/>
          <w:szCs w:val="28"/>
        </w:rPr>
        <w:t>ов</w:t>
      </w:r>
      <w:r>
        <w:rPr>
          <w:sz w:val="28"/>
          <w:szCs w:val="28"/>
        </w:rPr>
        <w:t xml:space="preserve"> прогнозируется небо</w:t>
      </w:r>
      <w:r w:rsidR="00E90D1D">
        <w:rPr>
          <w:sz w:val="28"/>
          <w:szCs w:val="28"/>
        </w:rPr>
        <w:t xml:space="preserve">льшой рост объема инвестиций </w:t>
      </w:r>
      <w:r w:rsidR="007D376D">
        <w:rPr>
          <w:sz w:val="28"/>
          <w:szCs w:val="28"/>
        </w:rPr>
        <w:t xml:space="preserve">в </w:t>
      </w:r>
      <w:r w:rsidR="007D376D">
        <w:rPr>
          <w:sz w:val="28"/>
          <w:szCs w:val="28"/>
        </w:rPr>
        <w:lastRenderedPageBreak/>
        <w:t xml:space="preserve">сопоставимых ценах </w:t>
      </w:r>
      <w:r w:rsidR="00DB11A5">
        <w:rPr>
          <w:sz w:val="28"/>
          <w:szCs w:val="28"/>
        </w:rPr>
        <w:t>100,5-101,0</w:t>
      </w:r>
      <w:r>
        <w:rPr>
          <w:sz w:val="28"/>
          <w:szCs w:val="28"/>
        </w:rPr>
        <w:t>%, при благоприятных условиях и сох</w:t>
      </w:r>
      <w:r w:rsidR="00DB11A5">
        <w:rPr>
          <w:sz w:val="28"/>
          <w:szCs w:val="28"/>
        </w:rPr>
        <w:t>ранении объема добываемой нефти</w:t>
      </w:r>
      <w:r>
        <w:rPr>
          <w:sz w:val="28"/>
          <w:szCs w:val="28"/>
        </w:rPr>
        <w:t xml:space="preserve">. </w:t>
      </w:r>
    </w:p>
    <w:p w:rsidR="002876B8" w:rsidRPr="00F62A3E" w:rsidRDefault="002876B8" w:rsidP="002D1004">
      <w:pPr>
        <w:pStyle w:val="1"/>
        <w:rPr>
          <w:rFonts w:ascii="Times New Roman" w:hAnsi="Times New Roman" w:cs="Times New Roman"/>
          <w:color w:val="auto"/>
        </w:rPr>
      </w:pPr>
      <w:r w:rsidRPr="00F62A3E">
        <w:rPr>
          <w:rFonts w:ascii="Times New Roman" w:hAnsi="Times New Roman" w:cs="Times New Roman"/>
          <w:color w:val="auto"/>
        </w:rPr>
        <w:t>Объем работ, выполненных по виду деятельности "Строительство"</w:t>
      </w:r>
    </w:p>
    <w:p w:rsidR="00A22CE4" w:rsidRDefault="003A1766" w:rsidP="002D1004">
      <w:p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Объем работ, выполняемых строительным комплексом, в </w:t>
      </w:r>
      <w:r w:rsidR="007D376D">
        <w:rPr>
          <w:sz w:val="28"/>
          <w:szCs w:val="28"/>
        </w:rPr>
        <w:t>202</w:t>
      </w:r>
      <w:r w:rsidR="00DB11A5">
        <w:rPr>
          <w:sz w:val="28"/>
          <w:szCs w:val="28"/>
        </w:rPr>
        <w:t>3</w:t>
      </w:r>
      <w:r w:rsidR="007D376D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ожидается </w:t>
      </w:r>
      <w:r w:rsidR="00EB6587">
        <w:rPr>
          <w:sz w:val="28"/>
          <w:szCs w:val="28"/>
        </w:rPr>
        <w:t>около</w:t>
      </w:r>
      <w:r>
        <w:rPr>
          <w:sz w:val="28"/>
          <w:szCs w:val="28"/>
        </w:rPr>
        <w:t xml:space="preserve"> </w:t>
      </w:r>
      <w:r w:rsidR="00DB11A5">
        <w:rPr>
          <w:sz w:val="28"/>
          <w:szCs w:val="28"/>
        </w:rPr>
        <w:t>1,4</w:t>
      </w:r>
      <w:r>
        <w:rPr>
          <w:sz w:val="28"/>
          <w:szCs w:val="28"/>
        </w:rPr>
        <w:t xml:space="preserve"> млрд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ублей, темп роста</w:t>
      </w:r>
      <w:r w:rsidR="007D376D">
        <w:rPr>
          <w:sz w:val="28"/>
          <w:szCs w:val="28"/>
        </w:rPr>
        <w:t xml:space="preserve"> в сопоставимых ценах </w:t>
      </w:r>
      <w:r w:rsidR="00EB6587">
        <w:rPr>
          <w:sz w:val="28"/>
          <w:szCs w:val="28"/>
        </w:rPr>
        <w:t>94,9</w:t>
      </w:r>
      <w:r w:rsidR="007D376D">
        <w:rPr>
          <w:sz w:val="28"/>
          <w:szCs w:val="28"/>
        </w:rPr>
        <w:t>%.</w:t>
      </w:r>
      <w:r>
        <w:rPr>
          <w:sz w:val="28"/>
          <w:szCs w:val="28"/>
        </w:rPr>
        <w:t xml:space="preserve"> </w:t>
      </w:r>
      <w:r w:rsidR="007D376D">
        <w:rPr>
          <w:sz w:val="28"/>
          <w:szCs w:val="28"/>
        </w:rPr>
        <w:t xml:space="preserve">В плановый период </w:t>
      </w:r>
      <w:r w:rsidR="00DB11A5">
        <w:rPr>
          <w:sz w:val="28"/>
          <w:szCs w:val="28"/>
        </w:rPr>
        <w:t xml:space="preserve">ситуация в отрасли </w:t>
      </w:r>
      <w:r w:rsidR="00E71A7F">
        <w:rPr>
          <w:sz w:val="28"/>
          <w:szCs w:val="28"/>
        </w:rPr>
        <w:t>остается</w:t>
      </w:r>
      <w:r w:rsidR="00DB11A5">
        <w:rPr>
          <w:sz w:val="28"/>
          <w:szCs w:val="28"/>
        </w:rPr>
        <w:t xml:space="preserve"> стабильной, вместе с тем, строительство крупных объектов не запланировано</w:t>
      </w:r>
      <w:r>
        <w:rPr>
          <w:sz w:val="28"/>
          <w:szCs w:val="28"/>
        </w:rPr>
        <w:t xml:space="preserve">. Плановый показатель ввода жилья </w:t>
      </w:r>
      <w:r w:rsidR="007E46E5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4F67C8">
        <w:rPr>
          <w:sz w:val="28"/>
          <w:szCs w:val="28"/>
        </w:rPr>
        <w:t>1</w:t>
      </w:r>
      <w:r w:rsidR="00DB11A5">
        <w:rPr>
          <w:sz w:val="28"/>
          <w:szCs w:val="28"/>
        </w:rPr>
        <w:t>2 тыс.</w:t>
      </w:r>
      <w:r>
        <w:rPr>
          <w:sz w:val="28"/>
          <w:szCs w:val="28"/>
        </w:rPr>
        <w:t>кв.м.</w:t>
      </w:r>
      <w:r w:rsidR="007E46E5">
        <w:rPr>
          <w:sz w:val="28"/>
          <w:szCs w:val="28"/>
        </w:rPr>
        <w:t xml:space="preserve"> </w:t>
      </w:r>
      <w:r w:rsidR="007E46E5" w:rsidRPr="007E46E5">
        <w:rPr>
          <w:i/>
          <w:sz w:val="28"/>
          <w:szCs w:val="28"/>
        </w:rPr>
        <w:t>(Справочно:2022 год</w:t>
      </w:r>
      <w:r w:rsidR="00D110E0">
        <w:rPr>
          <w:i/>
          <w:sz w:val="28"/>
          <w:szCs w:val="28"/>
        </w:rPr>
        <w:t>у введено</w:t>
      </w:r>
      <w:r w:rsidR="007E46E5" w:rsidRPr="007E46E5">
        <w:rPr>
          <w:i/>
          <w:sz w:val="28"/>
          <w:szCs w:val="28"/>
        </w:rPr>
        <w:t xml:space="preserve"> -16,5 тыс.кв.м.)</w:t>
      </w:r>
      <w:r>
        <w:rPr>
          <w:sz w:val="28"/>
          <w:szCs w:val="28"/>
        </w:rPr>
        <w:t>, который выполняется за счет индивидуального жилищного строительства</w:t>
      </w:r>
      <w:r w:rsidR="00DB11A5">
        <w:rPr>
          <w:sz w:val="28"/>
          <w:szCs w:val="28"/>
        </w:rPr>
        <w:t>.</w:t>
      </w:r>
    </w:p>
    <w:p w:rsidR="00A22CE4" w:rsidRPr="00F62A3E" w:rsidRDefault="00A22CE4" w:rsidP="002D1004">
      <w:pPr>
        <w:pStyle w:val="1"/>
        <w:rPr>
          <w:rFonts w:ascii="Times New Roman" w:hAnsi="Times New Roman" w:cs="Times New Roman"/>
          <w:color w:val="auto"/>
        </w:rPr>
      </w:pPr>
      <w:r w:rsidRPr="00F62A3E">
        <w:rPr>
          <w:rFonts w:ascii="Times New Roman" w:hAnsi="Times New Roman" w:cs="Times New Roman"/>
          <w:color w:val="auto"/>
        </w:rPr>
        <w:t>Оборот розничной торговли</w:t>
      </w:r>
      <w:r w:rsidR="00C53E8A">
        <w:rPr>
          <w:rFonts w:ascii="Times New Roman" w:hAnsi="Times New Roman" w:cs="Times New Roman"/>
          <w:color w:val="auto"/>
        </w:rPr>
        <w:t>, платные услуги</w:t>
      </w:r>
    </w:p>
    <w:p w:rsidR="004C03D4" w:rsidRPr="00940246" w:rsidRDefault="003A7E40" w:rsidP="002D1004">
      <w:pPr>
        <w:spacing w:line="240" w:lineRule="auto"/>
        <w:ind w:firstLine="540"/>
        <w:rPr>
          <w:sz w:val="28"/>
          <w:szCs w:val="28"/>
        </w:rPr>
      </w:pPr>
      <w:r w:rsidRPr="00940246">
        <w:rPr>
          <w:sz w:val="28"/>
          <w:szCs w:val="28"/>
        </w:rPr>
        <w:t xml:space="preserve">По оценке, оборот розничной торговли за </w:t>
      </w:r>
      <w:r w:rsidR="00AA37DC">
        <w:rPr>
          <w:sz w:val="28"/>
          <w:szCs w:val="28"/>
        </w:rPr>
        <w:t>202</w:t>
      </w:r>
      <w:r w:rsidR="00DB11A5">
        <w:rPr>
          <w:sz w:val="28"/>
          <w:szCs w:val="28"/>
        </w:rPr>
        <w:t>3</w:t>
      </w:r>
      <w:r w:rsidR="00D110E0">
        <w:rPr>
          <w:sz w:val="28"/>
          <w:szCs w:val="28"/>
        </w:rPr>
        <w:t xml:space="preserve"> </w:t>
      </w:r>
      <w:r w:rsidRPr="00940246">
        <w:rPr>
          <w:sz w:val="28"/>
          <w:szCs w:val="28"/>
        </w:rPr>
        <w:t xml:space="preserve">год </w:t>
      </w:r>
      <w:r w:rsidRPr="005B2385">
        <w:rPr>
          <w:sz w:val="28"/>
          <w:szCs w:val="28"/>
        </w:rPr>
        <w:t xml:space="preserve">составит </w:t>
      </w:r>
      <w:r w:rsidR="00E7782E" w:rsidRPr="005B2385">
        <w:rPr>
          <w:sz w:val="28"/>
          <w:szCs w:val="28"/>
        </w:rPr>
        <w:t>6</w:t>
      </w:r>
      <w:r w:rsidR="00940246" w:rsidRPr="005B2385">
        <w:rPr>
          <w:sz w:val="28"/>
          <w:szCs w:val="28"/>
        </w:rPr>
        <w:t>,</w:t>
      </w:r>
      <w:r w:rsidR="00C53E8A">
        <w:rPr>
          <w:sz w:val="28"/>
          <w:szCs w:val="28"/>
        </w:rPr>
        <w:t xml:space="preserve">9 </w:t>
      </w:r>
      <w:r w:rsidR="00A22CE4" w:rsidRPr="005B2385">
        <w:rPr>
          <w:sz w:val="28"/>
          <w:szCs w:val="28"/>
        </w:rPr>
        <w:t>м</w:t>
      </w:r>
      <w:r w:rsidR="00C53E8A">
        <w:rPr>
          <w:sz w:val="28"/>
          <w:szCs w:val="28"/>
        </w:rPr>
        <w:t xml:space="preserve">лрд. руб. В </w:t>
      </w:r>
      <w:r w:rsidR="007E46E5">
        <w:rPr>
          <w:sz w:val="28"/>
          <w:szCs w:val="28"/>
        </w:rPr>
        <w:t>прогнозируемый</w:t>
      </w:r>
      <w:r w:rsidR="00C53E8A">
        <w:rPr>
          <w:sz w:val="28"/>
          <w:szCs w:val="28"/>
        </w:rPr>
        <w:t xml:space="preserve"> </w:t>
      </w:r>
      <w:r w:rsidRPr="005B2385">
        <w:rPr>
          <w:sz w:val="28"/>
          <w:szCs w:val="28"/>
        </w:rPr>
        <w:t>период</w:t>
      </w:r>
      <w:r w:rsidR="007E46E5">
        <w:rPr>
          <w:sz w:val="28"/>
          <w:szCs w:val="28"/>
        </w:rPr>
        <w:t xml:space="preserve"> 2024 -2026 годов</w:t>
      </w:r>
      <w:r w:rsidRPr="005B2385">
        <w:rPr>
          <w:sz w:val="28"/>
          <w:szCs w:val="28"/>
        </w:rPr>
        <w:t xml:space="preserve"> </w:t>
      </w:r>
      <w:r w:rsidR="00C53E8A">
        <w:rPr>
          <w:sz w:val="28"/>
          <w:szCs w:val="28"/>
        </w:rPr>
        <w:t xml:space="preserve">значительного </w:t>
      </w:r>
      <w:r w:rsidRPr="005B2385">
        <w:rPr>
          <w:sz w:val="28"/>
          <w:szCs w:val="28"/>
        </w:rPr>
        <w:t>рост</w:t>
      </w:r>
      <w:r w:rsidR="00C53E8A">
        <w:rPr>
          <w:sz w:val="28"/>
          <w:szCs w:val="28"/>
        </w:rPr>
        <w:t>а</w:t>
      </w:r>
      <w:r w:rsidRPr="005B2385">
        <w:rPr>
          <w:sz w:val="28"/>
          <w:szCs w:val="28"/>
        </w:rPr>
        <w:t xml:space="preserve"> оборота розничной торговли </w:t>
      </w:r>
      <w:r w:rsidR="00C53E8A">
        <w:rPr>
          <w:sz w:val="28"/>
          <w:szCs w:val="28"/>
        </w:rPr>
        <w:t>в сопоставимых ценах не прогнозируется</w:t>
      </w:r>
      <w:r w:rsidRPr="00940246">
        <w:rPr>
          <w:sz w:val="28"/>
          <w:szCs w:val="28"/>
        </w:rPr>
        <w:t>.</w:t>
      </w:r>
      <w:r w:rsidR="00C53E8A">
        <w:rPr>
          <w:sz w:val="28"/>
          <w:szCs w:val="28"/>
        </w:rPr>
        <w:t xml:space="preserve"> Ввод новых крупных торговых объектов не планируется.</w:t>
      </w:r>
    </w:p>
    <w:p w:rsidR="00CC2A59" w:rsidRPr="00940246" w:rsidRDefault="00CC2A59" w:rsidP="002D1004">
      <w:pPr>
        <w:spacing w:line="240" w:lineRule="auto"/>
        <w:ind w:firstLine="540"/>
        <w:rPr>
          <w:sz w:val="28"/>
          <w:szCs w:val="28"/>
        </w:rPr>
      </w:pPr>
      <w:r w:rsidRPr="00940246">
        <w:rPr>
          <w:sz w:val="28"/>
          <w:szCs w:val="28"/>
        </w:rPr>
        <w:t xml:space="preserve">В </w:t>
      </w:r>
      <w:r w:rsidR="00C53E8A">
        <w:rPr>
          <w:sz w:val="28"/>
          <w:szCs w:val="28"/>
        </w:rPr>
        <w:t>2023 году объем платных услуг, в сопоставимых ценах, ожидается на уровне 100%, к 202</w:t>
      </w:r>
      <w:r w:rsidR="00D110E0">
        <w:rPr>
          <w:sz w:val="28"/>
          <w:szCs w:val="28"/>
        </w:rPr>
        <w:t>2</w:t>
      </w:r>
      <w:r w:rsidR="00C53E8A">
        <w:rPr>
          <w:sz w:val="28"/>
          <w:szCs w:val="28"/>
        </w:rPr>
        <w:t xml:space="preserve"> году. В плановый период </w:t>
      </w:r>
      <w:r w:rsidRPr="00940246">
        <w:rPr>
          <w:sz w:val="28"/>
          <w:szCs w:val="28"/>
        </w:rPr>
        <w:t>прогнозный период</w:t>
      </w:r>
      <w:r w:rsidR="00A130EF" w:rsidRPr="00940246">
        <w:rPr>
          <w:sz w:val="28"/>
          <w:szCs w:val="28"/>
        </w:rPr>
        <w:t xml:space="preserve"> </w:t>
      </w:r>
      <w:r w:rsidR="004801A0" w:rsidRPr="00940246">
        <w:rPr>
          <w:sz w:val="28"/>
          <w:szCs w:val="28"/>
        </w:rPr>
        <w:t>объем платных услуг</w:t>
      </w:r>
      <w:r w:rsidR="00A130EF" w:rsidRPr="00940246">
        <w:rPr>
          <w:sz w:val="28"/>
          <w:szCs w:val="28"/>
        </w:rPr>
        <w:t xml:space="preserve"> </w:t>
      </w:r>
      <w:r w:rsidR="007E46E5">
        <w:rPr>
          <w:sz w:val="28"/>
          <w:szCs w:val="28"/>
        </w:rPr>
        <w:t xml:space="preserve">сохранится в пределах </w:t>
      </w:r>
      <w:r w:rsidR="004F67C8">
        <w:rPr>
          <w:sz w:val="28"/>
          <w:szCs w:val="28"/>
        </w:rPr>
        <w:t>1</w:t>
      </w:r>
      <w:r w:rsidR="00E7782E">
        <w:rPr>
          <w:sz w:val="28"/>
          <w:szCs w:val="28"/>
        </w:rPr>
        <w:t>00</w:t>
      </w:r>
      <w:r w:rsidR="001C2BB0">
        <w:rPr>
          <w:sz w:val="28"/>
          <w:szCs w:val="28"/>
        </w:rPr>
        <w:t>,4</w:t>
      </w:r>
      <w:r w:rsidR="004F67C8">
        <w:rPr>
          <w:sz w:val="28"/>
          <w:szCs w:val="28"/>
        </w:rPr>
        <w:t>-</w:t>
      </w:r>
      <w:r w:rsidR="00E7782E">
        <w:rPr>
          <w:sz w:val="28"/>
          <w:szCs w:val="28"/>
        </w:rPr>
        <w:t>10</w:t>
      </w:r>
      <w:r w:rsidR="004F67C8">
        <w:rPr>
          <w:sz w:val="28"/>
          <w:szCs w:val="28"/>
        </w:rPr>
        <w:t>2</w:t>
      </w:r>
      <w:r w:rsidR="00E7782E">
        <w:rPr>
          <w:sz w:val="28"/>
          <w:szCs w:val="28"/>
        </w:rPr>
        <w:t>,1</w:t>
      </w:r>
      <w:r w:rsidR="00A130EF" w:rsidRPr="00940246">
        <w:rPr>
          <w:sz w:val="28"/>
          <w:szCs w:val="28"/>
        </w:rPr>
        <w:t>% в сопоставимых ценах.</w:t>
      </w:r>
      <w:r w:rsidR="00E9203E">
        <w:rPr>
          <w:sz w:val="28"/>
          <w:szCs w:val="28"/>
        </w:rPr>
        <w:t xml:space="preserve"> Роста объема платных услуг не ожидается, с учетом расширения</w:t>
      </w:r>
      <w:r w:rsidR="002179EC">
        <w:rPr>
          <w:sz w:val="28"/>
          <w:szCs w:val="28"/>
        </w:rPr>
        <w:t xml:space="preserve"> перечня </w:t>
      </w:r>
      <w:r w:rsidR="00E9203E">
        <w:rPr>
          <w:sz w:val="28"/>
          <w:szCs w:val="28"/>
        </w:rPr>
        <w:t>бесплатных услуг населению</w:t>
      </w:r>
      <w:r w:rsidR="002179EC">
        <w:rPr>
          <w:sz w:val="28"/>
          <w:szCs w:val="28"/>
        </w:rPr>
        <w:t xml:space="preserve"> и получателей социальных льгот</w:t>
      </w:r>
      <w:r w:rsidR="00E9203E">
        <w:rPr>
          <w:sz w:val="28"/>
          <w:szCs w:val="28"/>
        </w:rPr>
        <w:t>.</w:t>
      </w:r>
    </w:p>
    <w:p w:rsidR="004C03D4" w:rsidRPr="00F62A3E" w:rsidRDefault="004C03D4" w:rsidP="002D1004">
      <w:pPr>
        <w:pStyle w:val="1"/>
        <w:rPr>
          <w:rFonts w:ascii="Times New Roman" w:hAnsi="Times New Roman" w:cs="Times New Roman"/>
          <w:color w:val="auto"/>
        </w:rPr>
      </w:pPr>
      <w:r w:rsidRPr="00F62A3E">
        <w:rPr>
          <w:rFonts w:ascii="Times New Roman" w:hAnsi="Times New Roman" w:cs="Times New Roman"/>
          <w:color w:val="auto"/>
        </w:rPr>
        <w:t xml:space="preserve">Численность </w:t>
      </w:r>
      <w:proofErr w:type="gramStart"/>
      <w:r w:rsidRPr="00F62A3E">
        <w:rPr>
          <w:rFonts w:ascii="Times New Roman" w:hAnsi="Times New Roman" w:cs="Times New Roman"/>
          <w:color w:val="auto"/>
        </w:rPr>
        <w:t>занятых</w:t>
      </w:r>
      <w:proofErr w:type="gramEnd"/>
      <w:r w:rsidRPr="00F62A3E">
        <w:rPr>
          <w:rFonts w:ascii="Times New Roman" w:hAnsi="Times New Roman" w:cs="Times New Roman"/>
          <w:color w:val="auto"/>
        </w:rPr>
        <w:t xml:space="preserve"> в экономике</w:t>
      </w:r>
    </w:p>
    <w:p w:rsidR="004C03D4" w:rsidRPr="00ED447C" w:rsidRDefault="004C03D4" w:rsidP="002D1004">
      <w:pPr>
        <w:spacing w:line="240" w:lineRule="auto"/>
        <w:ind w:firstLine="540"/>
        <w:rPr>
          <w:sz w:val="28"/>
          <w:szCs w:val="28"/>
        </w:rPr>
      </w:pPr>
      <w:r w:rsidRPr="00ED447C">
        <w:rPr>
          <w:sz w:val="28"/>
          <w:szCs w:val="28"/>
        </w:rPr>
        <w:t xml:space="preserve">Численность </w:t>
      </w:r>
      <w:proofErr w:type="gramStart"/>
      <w:r w:rsidRPr="00ED447C">
        <w:rPr>
          <w:sz w:val="28"/>
          <w:szCs w:val="28"/>
        </w:rPr>
        <w:t>занятых</w:t>
      </w:r>
      <w:proofErr w:type="gramEnd"/>
      <w:r w:rsidRPr="00ED447C">
        <w:rPr>
          <w:sz w:val="28"/>
          <w:szCs w:val="28"/>
        </w:rPr>
        <w:t xml:space="preserve"> в экономике</w:t>
      </w:r>
      <w:r w:rsidR="00E97B1A">
        <w:rPr>
          <w:sz w:val="28"/>
          <w:szCs w:val="28"/>
        </w:rPr>
        <w:t xml:space="preserve"> продолжит снижаться в связи с</w:t>
      </w:r>
      <w:r w:rsidR="00801889">
        <w:rPr>
          <w:sz w:val="28"/>
          <w:szCs w:val="28"/>
        </w:rPr>
        <w:t xml:space="preserve"> отрицательными</w:t>
      </w:r>
      <w:r w:rsidR="00E97B1A">
        <w:rPr>
          <w:sz w:val="28"/>
          <w:szCs w:val="28"/>
        </w:rPr>
        <w:t xml:space="preserve"> демографическими </w:t>
      </w:r>
      <w:r w:rsidR="00407A71" w:rsidRPr="00ED447C">
        <w:rPr>
          <w:sz w:val="28"/>
          <w:szCs w:val="28"/>
        </w:rPr>
        <w:t xml:space="preserve">и миграционными </w:t>
      </w:r>
      <w:r w:rsidR="00801889">
        <w:rPr>
          <w:sz w:val="28"/>
          <w:szCs w:val="28"/>
        </w:rPr>
        <w:t>процессами</w:t>
      </w:r>
      <w:r w:rsidR="005F5159">
        <w:rPr>
          <w:sz w:val="28"/>
          <w:szCs w:val="28"/>
        </w:rPr>
        <w:t>, оттоком молодежи из</w:t>
      </w:r>
      <w:r w:rsidR="007C53F5">
        <w:rPr>
          <w:sz w:val="28"/>
          <w:szCs w:val="28"/>
        </w:rPr>
        <w:t xml:space="preserve"> сельской местности</w:t>
      </w:r>
      <w:r w:rsidR="00407A71" w:rsidRPr="00ED447C">
        <w:rPr>
          <w:sz w:val="28"/>
          <w:szCs w:val="28"/>
        </w:rPr>
        <w:t>.</w:t>
      </w:r>
      <w:r w:rsidR="00ED447C" w:rsidRPr="00ED447C">
        <w:rPr>
          <w:sz w:val="28"/>
          <w:szCs w:val="28"/>
        </w:rPr>
        <w:t xml:space="preserve"> </w:t>
      </w:r>
    </w:p>
    <w:p w:rsidR="00407A71" w:rsidRDefault="00407A71" w:rsidP="002D1004">
      <w:pPr>
        <w:pStyle w:val="1"/>
        <w:rPr>
          <w:rFonts w:ascii="Times New Roman" w:hAnsi="Times New Roman" w:cs="Times New Roman"/>
          <w:color w:val="auto"/>
        </w:rPr>
      </w:pPr>
      <w:r w:rsidRPr="00F62A3E">
        <w:rPr>
          <w:rFonts w:ascii="Times New Roman" w:hAnsi="Times New Roman" w:cs="Times New Roman"/>
          <w:color w:val="auto"/>
        </w:rPr>
        <w:t>Фонд заработной платы</w:t>
      </w:r>
      <w:r w:rsidR="00F337A6">
        <w:rPr>
          <w:rFonts w:ascii="Times New Roman" w:hAnsi="Times New Roman" w:cs="Times New Roman"/>
          <w:color w:val="auto"/>
        </w:rPr>
        <w:t xml:space="preserve"> (ФЗП)</w:t>
      </w:r>
    </w:p>
    <w:p w:rsidR="00D110E0" w:rsidRPr="00D110E0" w:rsidRDefault="007E46E5" w:rsidP="002D1004">
      <w:pPr>
        <w:overflowPunct w:val="0"/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Ф</w:t>
      </w:r>
      <w:r w:rsidR="00CF1E21" w:rsidRPr="000843AA">
        <w:rPr>
          <w:sz w:val="28"/>
          <w:szCs w:val="28"/>
        </w:rPr>
        <w:t xml:space="preserve">ормирование прогнозных данных </w:t>
      </w:r>
      <w:r w:rsidR="00F337A6">
        <w:rPr>
          <w:sz w:val="28"/>
          <w:szCs w:val="28"/>
        </w:rPr>
        <w:t xml:space="preserve"> на по фонду заработной платы </w:t>
      </w:r>
      <w:r>
        <w:rPr>
          <w:sz w:val="28"/>
          <w:szCs w:val="28"/>
        </w:rPr>
        <w:t>основано на данных</w:t>
      </w:r>
      <w:proofErr w:type="gramStart"/>
      <w:r w:rsidR="00CF1E21">
        <w:rPr>
          <w:sz w:val="28"/>
          <w:szCs w:val="28"/>
        </w:rPr>
        <w:t xml:space="preserve"> </w:t>
      </w:r>
      <w:r w:rsidR="00D110E0" w:rsidRPr="00D110E0">
        <w:rPr>
          <w:sz w:val="28"/>
          <w:szCs w:val="28"/>
        </w:rPr>
        <w:t>Ф</w:t>
      </w:r>
      <w:proofErr w:type="gramEnd"/>
      <w:r w:rsidR="00D110E0" w:rsidRPr="00D110E0">
        <w:rPr>
          <w:sz w:val="28"/>
          <w:szCs w:val="28"/>
        </w:rPr>
        <w:t>инансово – бюджетной палаты по поступлению  налога на доходы физических лиц. За 5 месяцев 2023 года  НДФЛ по контингенту составил 412 504,1 тыс. рублей при плане 983 438,0 тыс. рублей или исполнено на 41,9% . За отчетный период НДФЛ по сравнению с поступлениями аналогичного периода 2022 года выросла на 13 979 тыс. рублей, темп роста составил 104,7%.</w:t>
      </w:r>
    </w:p>
    <w:p w:rsidR="00D110E0" w:rsidRPr="00D110E0" w:rsidRDefault="00D110E0" w:rsidP="002D1004">
      <w:pPr>
        <w:overflowPunct w:val="0"/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110E0">
        <w:rPr>
          <w:sz w:val="28"/>
          <w:szCs w:val="28"/>
        </w:rPr>
        <w:t>Ожидаемое поступление НДФЛ в контингенте по итогам 2023 года составляет 1</w:t>
      </w:r>
      <w:r w:rsidR="00714DE9">
        <w:rPr>
          <w:sz w:val="28"/>
          <w:szCs w:val="28"/>
        </w:rPr>
        <w:t> </w:t>
      </w:r>
      <w:r w:rsidRPr="00D110E0">
        <w:rPr>
          <w:sz w:val="28"/>
          <w:szCs w:val="28"/>
        </w:rPr>
        <w:t>1</w:t>
      </w:r>
      <w:r w:rsidR="00714DE9">
        <w:rPr>
          <w:sz w:val="28"/>
          <w:szCs w:val="28"/>
        </w:rPr>
        <w:t>31 788,4</w:t>
      </w:r>
      <w:r w:rsidRPr="00D110E0">
        <w:rPr>
          <w:sz w:val="28"/>
          <w:szCs w:val="28"/>
        </w:rPr>
        <w:t xml:space="preserve"> тыс. рублей, т.е. 10</w:t>
      </w:r>
      <w:r w:rsidR="00714DE9">
        <w:rPr>
          <w:sz w:val="28"/>
          <w:szCs w:val="28"/>
        </w:rPr>
        <w:t>9</w:t>
      </w:r>
      <w:r w:rsidRPr="00D110E0">
        <w:rPr>
          <w:sz w:val="28"/>
          <w:szCs w:val="28"/>
        </w:rPr>
        <w:t xml:space="preserve">,0% к прошлому году. </w:t>
      </w:r>
    </w:p>
    <w:p w:rsidR="00D110E0" w:rsidRPr="000843AA" w:rsidRDefault="00D110E0" w:rsidP="002D1004">
      <w:pPr>
        <w:overflowPunct w:val="0"/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D110E0">
        <w:rPr>
          <w:sz w:val="28"/>
          <w:szCs w:val="28"/>
        </w:rPr>
        <w:t xml:space="preserve">Прогнозируем, что данная ситуация в плановый период кардинально не изменится. </w:t>
      </w:r>
      <w:proofErr w:type="gramStart"/>
      <w:r w:rsidRPr="00D110E0">
        <w:rPr>
          <w:sz w:val="28"/>
          <w:szCs w:val="28"/>
        </w:rPr>
        <w:t>С учетом действующих ограничений, сокращением добычи нефти и соответственно заказов сервисным и обслуживающим компаниям,  фонд заработной платы в 2023 году составит - 9</w:t>
      </w:r>
      <w:r w:rsidR="007F3797">
        <w:rPr>
          <w:sz w:val="28"/>
          <w:szCs w:val="28"/>
        </w:rPr>
        <w:t> 413,3</w:t>
      </w:r>
      <w:r w:rsidRPr="00D110E0">
        <w:rPr>
          <w:sz w:val="28"/>
          <w:szCs w:val="28"/>
        </w:rPr>
        <w:t xml:space="preserve"> млн</w:t>
      </w:r>
      <w:r w:rsidR="007F3797">
        <w:rPr>
          <w:sz w:val="28"/>
          <w:szCs w:val="28"/>
        </w:rPr>
        <w:t>. руб. (темп роста 110</w:t>
      </w:r>
      <w:r w:rsidRPr="00D110E0">
        <w:rPr>
          <w:sz w:val="28"/>
          <w:szCs w:val="28"/>
        </w:rPr>
        <w:t xml:space="preserve">%), в </w:t>
      </w:r>
      <w:r w:rsidRPr="00D110E0">
        <w:rPr>
          <w:sz w:val="28"/>
          <w:szCs w:val="28"/>
        </w:rPr>
        <w:lastRenderedPageBreak/>
        <w:t xml:space="preserve">2024 г. – </w:t>
      </w:r>
      <w:r w:rsidR="007F3797">
        <w:rPr>
          <w:sz w:val="28"/>
          <w:szCs w:val="28"/>
        </w:rPr>
        <w:t>10 034,6</w:t>
      </w:r>
      <w:r w:rsidRPr="00D110E0">
        <w:rPr>
          <w:sz w:val="28"/>
          <w:szCs w:val="28"/>
        </w:rPr>
        <w:t xml:space="preserve"> млн. рублей  (темп роста 10</w:t>
      </w:r>
      <w:r w:rsidR="00714DE9">
        <w:rPr>
          <w:sz w:val="28"/>
          <w:szCs w:val="28"/>
        </w:rPr>
        <w:t>6,</w:t>
      </w:r>
      <w:r w:rsidR="007F3797">
        <w:rPr>
          <w:sz w:val="28"/>
          <w:szCs w:val="28"/>
        </w:rPr>
        <w:t>6</w:t>
      </w:r>
      <w:r w:rsidRPr="00D110E0">
        <w:rPr>
          <w:sz w:val="28"/>
          <w:szCs w:val="28"/>
        </w:rPr>
        <w:t>%),  в 2025 – 10</w:t>
      </w:r>
      <w:r w:rsidR="007F3797">
        <w:rPr>
          <w:sz w:val="28"/>
          <w:szCs w:val="28"/>
        </w:rPr>
        <w:t> 767,1</w:t>
      </w:r>
      <w:r w:rsidRPr="00D110E0">
        <w:rPr>
          <w:sz w:val="28"/>
          <w:szCs w:val="28"/>
        </w:rPr>
        <w:t xml:space="preserve"> млн. руб.  (темп роста – 107,3%)., в 2026 – </w:t>
      </w:r>
      <w:r w:rsidR="00EF28ED">
        <w:rPr>
          <w:sz w:val="28"/>
          <w:szCs w:val="28"/>
        </w:rPr>
        <w:t>11</w:t>
      </w:r>
      <w:r w:rsidR="007F3797">
        <w:rPr>
          <w:sz w:val="28"/>
          <w:szCs w:val="28"/>
        </w:rPr>
        <w:t> 563,8</w:t>
      </w:r>
      <w:r w:rsidRPr="00D110E0">
        <w:rPr>
          <w:sz w:val="28"/>
          <w:szCs w:val="28"/>
        </w:rPr>
        <w:t xml:space="preserve"> млн. руб. (темп роста 107,4%).</w:t>
      </w:r>
      <w:proofErr w:type="gramEnd"/>
    </w:p>
    <w:p w:rsidR="00CF1E21" w:rsidRDefault="00CF1E21" w:rsidP="002D1004">
      <w:pPr>
        <w:spacing w:line="240" w:lineRule="auto"/>
        <w:rPr>
          <w:sz w:val="28"/>
          <w:szCs w:val="28"/>
        </w:rPr>
      </w:pPr>
      <w:r w:rsidRPr="00725F9F">
        <w:rPr>
          <w:sz w:val="28"/>
          <w:szCs w:val="28"/>
        </w:rPr>
        <w:t>Данные по динамике фонда заработной платы</w:t>
      </w:r>
      <w:r>
        <w:rPr>
          <w:sz w:val="28"/>
          <w:szCs w:val="28"/>
        </w:rPr>
        <w:t xml:space="preserve"> и темп роста</w:t>
      </w:r>
      <w:r w:rsidRPr="00725F9F">
        <w:rPr>
          <w:sz w:val="28"/>
          <w:szCs w:val="28"/>
        </w:rPr>
        <w:t xml:space="preserve"> за </w:t>
      </w:r>
      <w:r>
        <w:rPr>
          <w:sz w:val="28"/>
          <w:szCs w:val="28"/>
        </w:rPr>
        <w:t>5</w:t>
      </w:r>
      <w:r w:rsidRPr="00725F9F">
        <w:rPr>
          <w:sz w:val="28"/>
          <w:szCs w:val="28"/>
        </w:rPr>
        <w:t xml:space="preserve"> предыдущих лет и прогноз на 202</w:t>
      </w:r>
      <w:r>
        <w:rPr>
          <w:sz w:val="28"/>
          <w:szCs w:val="28"/>
        </w:rPr>
        <w:t>4</w:t>
      </w:r>
      <w:r w:rsidRPr="00725F9F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Pr="00725F9F">
        <w:rPr>
          <w:sz w:val="28"/>
          <w:szCs w:val="28"/>
        </w:rPr>
        <w:t xml:space="preserve"> годы сведены  в таблицу №</w:t>
      </w:r>
      <w:r>
        <w:rPr>
          <w:sz w:val="28"/>
          <w:szCs w:val="28"/>
        </w:rPr>
        <w:t>1</w:t>
      </w:r>
      <w:r w:rsidRPr="00725F9F">
        <w:rPr>
          <w:sz w:val="28"/>
          <w:szCs w:val="28"/>
        </w:rPr>
        <w:t xml:space="preserve">. </w:t>
      </w:r>
    </w:p>
    <w:p w:rsidR="00CF1E21" w:rsidRPr="00725F9F" w:rsidRDefault="00CF1E21" w:rsidP="002D1004">
      <w:pPr>
        <w:spacing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 №1</w:t>
      </w:r>
    </w:p>
    <w:tbl>
      <w:tblPr>
        <w:tblStyle w:val="a7"/>
        <w:tblW w:w="10740" w:type="dxa"/>
        <w:tblLayout w:type="fixed"/>
        <w:tblLook w:val="04A0"/>
      </w:tblPr>
      <w:tblGrid>
        <w:gridCol w:w="1242"/>
        <w:gridCol w:w="1039"/>
        <w:gridCol w:w="1040"/>
        <w:gridCol w:w="1039"/>
        <w:gridCol w:w="1040"/>
        <w:gridCol w:w="1039"/>
        <w:gridCol w:w="1040"/>
        <w:gridCol w:w="1039"/>
        <w:gridCol w:w="1088"/>
        <w:gridCol w:w="1134"/>
      </w:tblGrid>
      <w:tr w:rsidR="00CF1E21" w:rsidRPr="00725F9F" w:rsidTr="00EF28ED">
        <w:tc>
          <w:tcPr>
            <w:tcW w:w="1242" w:type="dxa"/>
          </w:tcPr>
          <w:p w:rsidR="00CF1E21" w:rsidRPr="00725F9F" w:rsidRDefault="00CF1E21" w:rsidP="002D1004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725F9F">
              <w:rPr>
                <w:sz w:val="20"/>
              </w:rPr>
              <w:t>Показатель</w:t>
            </w:r>
          </w:p>
        </w:tc>
        <w:tc>
          <w:tcPr>
            <w:tcW w:w="1039" w:type="dxa"/>
          </w:tcPr>
          <w:p w:rsidR="00CF1E21" w:rsidRDefault="00CF1E21" w:rsidP="002D100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  <w:p w:rsidR="00CF1E21" w:rsidRPr="00725F9F" w:rsidRDefault="00CF1E21" w:rsidP="002D100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отчет</w:t>
            </w:r>
          </w:p>
        </w:tc>
        <w:tc>
          <w:tcPr>
            <w:tcW w:w="1040" w:type="dxa"/>
          </w:tcPr>
          <w:p w:rsidR="00CF1E21" w:rsidRPr="00725F9F" w:rsidRDefault="00CF1E21" w:rsidP="002D100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25F9F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</w:p>
          <w:p w:rsidR="00CF1E21" w:rsidRPr="00725F9F" w:rsidRDefault="00CF1E21" w:rsidP="002D100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25F9F">
              <w:rPr>
                <w:sz w:val="22"/>
                <w:szCs w:val="22"/>
              </w:rPr>
              <w:t>отчет</w:t>
            </w:r>
          </w:p>
        </w:tc>
        <w:tc>
          <w:tcPr>
            <w:tcW w:w="1039" w:type="dxa"/>
          </w:tcPr>
          <w:p w:rsidR="00CF1E21" w:rsidRPr="00725F9F" w:rsidRDefault="00CF1E21" w:rsidP="002D100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25F9F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</w:p>
          <w:p w:rsidR="00CF1E21" w:rsidRPr="00725F9F" w:rsidRDefault="00CF1E21" w:rsidP="002D100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25F9F">
              <w:rPr>
                <w:sz w:val="22"/>
                <w:szCs w:val="22"/>
              </w:rPr>
              <w:t>отчет</w:t>
            </w:r>
          </w:p>
        </w:tc>
        <w:tc>
          <w:tcPr>
            <w:tcW w:w="1040" w:type="dxa"/>
          </w:tcPr>
          <w:p w:rsidR="00CF1E21" w:rsidRPr="00725F9F" w:rsidRDefault="00CF1E21" w:rsidP="002D100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25F9F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</w:p>
          <w:p w:rsidR="00CF1E21" w:rsidRPr="00725F9F" w:rsidRDefault="00CF1E21" w:rsidP="002D100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25F9F">
              <w:rPr>
                <w:sz w:val="22"/>
                <w:szCs w:val="22"/>
              </w:rPr>
              <w:t>отчет</w:t>
            </w:r>
          </w:p>
        </w:tc>
        <w:tc>
          <w:tcPr>
            <w:tcW w:w="1039" w:type="dxa"/>
          </w:tcPr>
          <w:p w:rsidR="00CF1E21" w:rsidRPr="00725F9F" w:rsidRDefault="00CF1E21" w:rsidP="002D100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25F9F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</w:p>
          <w:p w:rsidR="00CF1E21" w:rsidRPr="00725F9F" w:rsidRDefault="00CF1E21" w:rsidP="002D100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отчет</w:t>
            </w:r>
          </w:p>
        </w:tc>
        <w:tc>
          <w:tcPr>
            <w:tcW w:w="1040" w:type="dxa"/>
          </w:tcPr>
          <w:p w:rsidR="00CF1E21" w:rsidRPr="00725F9F" w:rsidRDefault="00CF1E21" w:rsidP="002D100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25F9F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</w:p>
          <w:p w:rsidR="00CF1E21" w:rsidRPr="00725F9F" w:rsidRDefault="00CF1E21" w:rsidP="002D100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25F9F">
              <w:rPr>
                <w:sz w:val="22"/>
                <w:szCs w:val="22"/>
              </w:rPr>
              <w:t>оценка</w:t>
            </w:r>
          </w:p>
        </w:tc>
        <w:tc>
          <w:tcPr>
            <w:tcW w:w="1039" w:type="dxa"/>
          </w:tcPr>
          <w:p w:rsidR="00CF1E21" w:rsidRPr="00725F9F" w:rsidRDefault="00CF1E21" w:rsidP="002D100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25F9F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</w:p>
          <w:p w:rsidR="00CF1E21" w:rsidRPr="00725F9F" w:rsidRDefault="00CF1E21" w:rsidP="002D100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25F9F">
              <w:rPr>
                <w:sz w:val="22"/>
                <w:szCs w:val="22"/>
              </w:rPr>
              <w:t>прогноз</w:t>
            </w:r>
          </w:p>
        </w:tc>
        <w:tc>
          <w:tcPr>
            <w:tcW w:w="1088" w:type="dxa"/>
          </w:tcPr>
          <w:p w:rsidR="00CF1E21" w:rsidRPr="00725F9F" w:rsidRDefault="00CF1E21" w:rsidP="002D100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25F9F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</w:p>
          <w:p w:rsidR="00CF1E21" w:rsidRPr="00725F9F" w:rsidRDefault="00CF1E21" w:rsidP="002D100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25F9F">
              <w:rPr>
                <w:sz w:val="22"/>
                <w:szCs w:val="22"/>
              </w:rPr>
              <w:t>прогноз</w:t>
            </w:r>
          </w:p>
        </w:tc>
        <w:tc>
          <w:tcPr>
            <w:tcW w:w="1134" w:type="dxa"/>
          </w:tcPr>
          <w:p w:rsidR="00CF1E21" w:rsidRPr="00725F9F" w:rsidRDefault="00CF1E21" w:rsidP="002D100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25F9F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 прогноз</w:t>
            </w:r>
          </w:p>
        </w:tc>
      </w:tr>
      <w:tr w:rsidR="00CF1E21" w:rsidRPr="00725F9F" w:rsidTr="00EF28ED">
        <w:tc>
          <w:tcPr>
            <w:tcW w:w="1242" w:type="dxa"/>
          </w:tcPr>
          <w:p w:rsidR="00CF1E21" w:rsidRPr="00725F9F" w:rsidRDefault="00CF1E21" w:rsidP="002D1004">
            <w:pPr>
              <w:spacing w:line="240" w:lineRule="auto"/>
              <w:ind w:firstLine="0"/>
              <w:rPr>
                <w:sz w:val="20"/>
              </w:rPr>
            </w:pPr>
            <w:r w:rsidRPr="00725F9F">
              <w:rPr>
                <w:sz w:val="20"/>
              </w:rPr>
              <w:t>ФЗП, млн</w:t>
            </w:r>
            <w:proofErr w:type="gramStart"/>
            <w:r w:rsidRPr="00725F9F">
              <w:rPr>
                <w:sz w:val="20"/>
              </w:rPr>
              <w:t>.р</w:t>
            </w:r>
            <w:proofErr w:type="gramEnd"/>
            <w:r w:rsidRPr="00725F9F">
              <w:rPr>
                <w:sz w:val="20"/>
              </w:rPr>
              <w:t>уб.</w:t>
            </w:r>
          </w:p>
        </w:tc>
        <w:tc>
          <w:tcPr>
            <w:tcW w:w="1039" w:type="dxa"/>
          </w:tcPr>
          <w:p w:rsidR="00CF1E21" w:rsidRDefault="00CF1E21" w:rsidP="002D1004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7101,5</w:t>
            </w:r>
          </w:p>
        </w:tc>
        <w:tc>
          <w:tcPr>
            <w:tcW w:w="1040" w:type="dxa"/>
          </w:tcPr>
          <w:p w:rsidR="00CF1E21" w:rsidRPr="00725F9F" w:rsidRDefault="00CF1E21" w:rsidP="002D1004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7 077,6</w:t>
            </w:r>
          </w:p>
        </w:tc>
        <w:tc>
          <w:tcPr>
            <w:tcW w:w="1039" w:type="dxa"/>
          </w:tcPr>
          <w:p w:rsidR="00CF1E21" w:rsidRPr="00725F9F" w:rsidRDefault="00CF1E21" w:rsidP="002D1004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6 764,7</w:t>
            </w:r>
          </w:p>
        </w:tc>
        <w:tc>
          <w:tcPr>
            <w:tcW w:w="1040" w:type="dxa"/>
          </w:tcPr>
          <w:p w:rsidR="00CF1E21" w:rsidRPr="00725F9F" w:rsidRDefault="00CF1E21" w:rsidP="002D1004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7 101,4</w:t>
            </w:r>
          </w:p>
        </w:tc>
        <w:tc>
          <w:tcPr>
            <w:tcW w:w="1039" w:type="dxa"/>
          </w:tcPr>
          <w:p w:rsidR="00CF1E21" w:rsidRPr="00725F9F" w:rsidRDefault="00CF1E21" w:rsidP="002D1004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EF28ED">
              <w:rPr>
                <w:szCs w:val="24"/>
              </w:rPr>
              <w:t> 557,5</w:t>
            </w:r>
          </w:p>
        </w:tc>
        <w:tc>
          <w:tcPr>
            <w:tcW w:w="1040" w:type="dxa"/>
          </w:tcPr>
          <w:p w:rsidR="00CF1E21" w:rsidRPr="00B95FBF" w:rsidRDefault="00EF28ED" w:rsidP="002D1004">
            <w:pPr>
              <w:ind w:firstLine="0"/>
            </w:pPr>
            <w:r>
              <w:t>9</w:t>
            </w:r>
            <w:r w:rsidR="007F3797">
              <w:t> 413,3</w:t>
            </w:r>
          </w:p>
        </w:tc>
        <w:tc>
          <w:tcPr>
            <w:tcW w:w="1039" w:type="dxa"/>
          </w:tcPr>
          <w:p w:rsidR="00CF1E21" w:rsidRPr="00B95FBF" w:rsidRDefault="007F3797" w:rsidP="002D1004">
            <w:pPr>
              <w:ind w:firstLine="0"/>
            </w:pPr>
            <w:r>
              <w:t>10034,6</w:t>
            </w:r>
          </w:p>
        </w:tc>
        <w:tc>
          <w:tcPr>
            <w:tcW w:w="1088" w:type="dxa"/>
          </w:tcPr>
          <w:p w:rsidR="00CF1E21" w:rsidRPr="00B95FBF" w:rsidRDefault="007F3797" w:rsidP="002D1004">
            <w:pPr>
              <w:ind w:firstLine="0"/>
            </w:pPr>
            <w:r>
              <w:t>10767,1</w:t>
            </w:r>
          </w:p>
        </w:tc>
        <w:tc>
          <w:tcPr>
            <w:tcW w:w="1134" w:type="dxa"/>
          </w:tcPr>
          <w:p w:rsidR="00CF1E21" w:rsidRPr="00B95FBF" w:rsidRDefault="007F3797" w:rsidP="002D1004">
            <w:pPr>
              <w:ind w:firstLine="0"/>
            </w:pPr>
            <w:r>
              <w:t>11563,8</w:t>
            </w:r>
          </w:p>
        </w:tc>
      </w:tr>
      <w:tr w:rsidR="00CF1E21" w:rsidRPr="00C218EE" w:rsidTr="00EF28ED">
        <w:tc>
          <w:tcPr>
            <w:tcW w:w="1242" w:type="dxa"/>
          </w:tcPr>
          <w:p w:rsidR="00CF1E21" w:rsidRPr="00725F9F" w:rsidRDefault="00CF1E21" w:rsidP="002D1004">
            <w:pPr>
              <w:spacing w:line="240" w:lineRule="auto"/>
              <w:ind w:firstLine="0"/>
              <w:rPr>
                <w:sz w:val="20"/>
              </w:rPr>
            </w:pPr>
            <w:r w:rsidRPr="00725F9F">
              <w:rPr>
                <w:sz w:val="20"/>
              </w:rPr>
              <w:t xml:space="preserve">Темп роста, % </w:t>
            </w:r>
          </w:p>
        </w:tc>
        <w:tc>
          <w:tcPr>
            <w:tcW w:w="1039" w:type="dxa"/>
          </w:tcPr>
          <w:p w:rsidR="00CF1E21" w:rsidRDefault="00CF1E21" w:rsidP="002D1004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104,9</w:t>
            </w:r>
          </w:p>
        </w:tc>
        <w:tc>
          <w:tcPr>
            <w:tcW w:w="1040" w:type="dxa"/>
          </w:tcPr>
          <w:p w:rsidR="00CF1E21" w:rsidRPr="00725F9F" w:rsidRDefault="00CF1E21" w:rsidP="002D1004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103,5</w:t>
            </w:r>
          </w:p>
        </w:tc>
        <w:tc>
          <w:tcPr>
            <w:tcW w:w="1039" w:type="dxa"/>
          </w:tcPr>
          <w:p w:rsidR="00CF1E21" w:rsidRPr="00725F9F" w:rsidRDefault="00CF1E21" w:rsidP="002D1004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95,6</w:t>
            </w:r>
          </w:p>
        </w:tc>
        <w:tc>
          <w:tcPr>
            <w:tcW w:w="1040" w:type="dxa"/>
          </w:tcPr>
          <w:p w:rsidR="00CF1E21" w:rsidRPr="00725F9F" w:rsidRDefault="00CF1E21" w:rsidP="002D1004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105,0</w:t>
            </w:r>
          </w:p>
        </w:tc>
        <w:tc>
          <w:tcPr>
            <w:tcW w:w="1039" w:type="dxa"/>
          </w:tcPr>
          <w:p w:rsidR="00CF1E21" w:rsidRPr="00725F9F" w:rsidRDefault="00EF28ED" w:rsidP="002D1004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120,5</w:t>
            </w:r>
          </w:p>
        </w:tc>
        <w:tc>
          <w:tcPr>
            <w:tcW w:w="1040" w:type="dxa"/>
          </w:tcPr>
          <w:p w:rsidR="00CF1E21" w:rsidRPr="00B95FBF" w:rsidRDefault="00EF28ED" w:rsidP="002D1004">
            <w:pPr>
              <w:ind w:firstLine="0"/>
              <w:jc w:val="center"/>
            </w:pPr>
            <w:r>
              <w:t>1</w:t>
            </w:r>
            <w:r w:rsidR="007F3797">
              <w:t>10</w:t>
            </w:r>
            <w:r>
              <w:t>,0</w:t>
            </w:r>
          </w:p>
        </w:tc>
        <w:tc>
          <w:tcPr>
            <w:tcW w:w="1039" w:type="dxa"/>
          </w:tcPr>
          <w:p w:rsidR="00CF1E21" w:rsidRPr="00B95FBF" w:rsidRDefault="00714DE9" w:rsidP="002D1004">
            <w:pPr>
              <w:ind w:firstLine="0"/>
              <w:jc w:val="center"/>
            </w:pPr>
            <w:r>
              <w:t>106,</w:t>
            </w:r>
            <w:r w:rsidR="007F3797">
              <w:t>6</w:t>
            </w:r>
          </w:p>
        </w:tc>
        <w:tc>
          <w:tcPr>
            <w:tcW w:w="1088" w:type="dxa"/>
          </w:tcPr>
          <w:p w:rsidR="00CF1E21" w:rsidRPr="00B95FBF" w:rsidRDefault="00CF1E21" w:rsidP="002D1004">
            <w:pPr>
              <w:ind w:firstLine="0"/>
            </w:pPr>
            <w:r w:rsidRPr="00B95FBF">
              <w:t>107,3</w:t>
            </w:r>
          </w:p>
        </w:tc>
        <w:tc>
          <w:tcPr>
            <w:tcW w:w="1134" w:type="dxa"/>
          </w:tcPr>
          <w:p w:rsidR="00CF1E21" w:rsidRDefault="00CF1E21" w:rsidP="002D1004">
            <w:pPr>
              <w:ind w:firstLine="0"/>
            </w:pPr>
            <w:r w:rsidRPr="00B95FBF">
              <w:t>107,</w:t>
            </w:r>
            <w:r w:rsidR="00EF28ED">
              <w:t>4</w:t>
            </w:r>
          </w:p>
        </w:tc>
      </w:tr>
    </w:tbl>
    <w:p w:rsidR="00CF1E21" w:rsidRDefault="00F337A6" w:rsidP="002D1004">
      <w:pPr>
        <w:overflowPunct w:val="0"/>
        <w:autoSpaceDE w:val="0"/>
        <w:autoSpaceDN w:val="0"/>
        <w:adjustRightInd w:val="0"/>
        <w:spacing w:line="240" w:lineRule="auto"/>
        <w:ind w:firstLine="709"/>
        <w:rPr>
          <w:i/>
          <w:sz w:val="28"/>
          <w:szCs w:val="28"/>
        </w:rPr>
      </w:pPr>
      <w:proofErr w:type="gramStart"/>
      <w:r>
        <w:rPr>
          <w:sz w:val="28"/>
          <w:szCs w:val="28"/>
        </w:rPr>
        <w:t xml:space="preserve">Средний темп роста ФЗП за предыдущие 5 лет составляет 106,02%. </w:t>
      </w:r>
      <w:r w:rsidRPr="00F337A6">
        <w:rPr>
          <w:i/>
          <w:sz w:val="28"/>
          <w:szCs w:val="28"/>
        </w:rPr>
        <w:t>(Справочно:104,9+103,5+95,6+105,0+</w:t>
      </w:r>
      <w:r w:rsidR="00EF28ED">
        <w:rPr>
          <w:i/>
          <w:sz w:val="28"/>
          <w:szCs w:val="28"/>
        </w:rPr>
        <w:t>120,5</w:t>
      </w:r>
      <w:r w:rsidRPr="00F337A6">
        <w:rPr>
          <w:i/>
          <w:sz w:val="28"/>
          <w:szCs w:val="28"/>
        </w:rPr>
        <w:t xml:space="preserve">) = </w:t>
      </w:r>
      <w:r w:rsidR="00EF28ED">
        <w:rPr>
          <w:i/>
          <w:sz w:val="28"/>
          <w:szCs w:val="28"/>
        </w:rPr>
        <w:t>529,5. 529,5/5 = 105,9</w:t>
      </w:r>
      <w:r w:rsidRPr="00F337A6">
        <w:rPr>
          <w:i/>
          <w:sz w:val="28"/>
          <w:szCs w:val="28"/>
        </w:rPr>
        <w:t>%)</w:t>
      </w:r>
      <w:r>
        <w:rPr>
          <w:i/>
          <w:sz w:val="28"/>
          <w:szCs w:val="28"/>
        </w:rPr>
        <w:t>.</w:t>
      </w:r>
      <w:proofErr w:type="gramEnd"/>
    </w:p>
    <w:p w:rsidR="00F337A6" w:rsidRDefault="00F337A6" w:rsidP="002D1004">
      <w:pPr>
        <w:overflowPunct w:val="0"/>
        <w:autoSpaceDE w:val="0"/>
        <w:autoSpaceDN w:val="0"/>
        <w:adjustRightInd w:val="0"/>
        <w:spacing w:line="240" w:lineRule="auto"/>
        <w:ind w:firstLine="709"/>
        <w:rPr>
          <w:i/>
          <w:sz w:val="28"/>
          <w:szCs w:val="28"/>
        </w:rPr>
      </w:pPr>
    </w:p>
    <w:p w:rsidR="00F337A6" w:rsidRPr="00F337A6" w:rsidRDefault="00C62F25" w:rsidP="002D1004">
      <w:pPr>
        <w:overflowPunct w:val="0"/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Оценка темпа роста ФЗП на</w:t>
      </w:r>
      <w:r w:rsidR="007E46E5">
        <w:rPr>
          <w:sz w:val="28"/>
          <w:szCs w:val="28"/>
        </w:rPr>
        <w:t xml:space="preserve"> 2024 год и</w:t>
      </w:r>
      <w:r>
        <w:rPr>
          <w:sz w:val="28"/>
          <w:szCs w:val="28"/>
        </w:rPr>
        <w:t xml:space="preserve"> план</w:t>
      </w:r>
      <w:r w:rsidR="003166E9">
        <w:rPr>
          <w:sz w:val="28"/>
          <w:szCs w:val="28"/>
        </w:rPr>
        <w:t xml:space="preserve">овый период до 2026 года </w:t>
      </w:r>
      <w:r w:rsidR="007E46E5">
        <w:rPr>
          <w:sz w:val="28"/>
          <w:szCs w:val="28"/>
        </w:rPr>
        <w:t>сделана</w:t>
      </w:r>
      <w:r>
        <w:rPr>
          <w:sz w:val="28"/>
          <w:szCs w:val="28"/>
        </w:rPr>
        <w:t xml:space="preserve"> на основании </w:t>
      </w:r>
      <w:r w:rsidR="00F337A6">
        <w:rPr>
          <w:sz w:val="28"/>
          <w:szCs w:val="28"/>
        </w:rPr>
        <w:t>данных</w:t>
      </w:r>
      <w:r>
        <w:rPr>
          <w:sz w:val="28"/>
          <w:szCs w:val="28"/>
        </w:rPr>
        <w:t xml:space="preserve"> по поступлениям НДФЛ за истекший период текущего года и анализа динамики темпа роста ФЗП за предыдущие 5 лет. </w:t>
      </w:r>
      <w:proofErr w:type="gramEnd"/>
    </w:p>
    <w:p w:rsidR="00892631" w:rsidRPr="00F62A3E" w:rsidRDefault="00892631" w:rsidP="002D1004">
      <w:pPr>
        <w:pStyle w:val="1"/>
        <w:rPr>
          <w:rFonts w:ascii="Times New Roman" w:hAnsi="Times New Roman" w:cs="Times New Roman"/>
          <w:color w:val="auto"/>
        </w:rPr>
      </w:pPr>
      <w:r w:rsidRPr="00F62A3E">
        <w:rPr>
          <w:rFonts w:ascii="Times New Roman" w:hAnsi="Times New Roman" w:cs="Times New Roman"/>
          <w:color w:val="auto"/>
        </w:rPr>
        <w:t>Среднесписочная численность работников предприятий и организаций</w:t>
      </w:r>
    </w:p>
    <w:p w:rsidR="004F67C8" w:rsidRPr="00FC3C81" w:rsidRDefault="00892631" w:rsidP="002D1004">
      <w:pPr>
        <w:spacing w:line="240" w:lineRule="auto"/>
        <w:ind w:firstLine="709"/>
        <w:rPr>
          <w:sz w:val="28"/>
          <w:szCs w:val="28"/>
        </w:rPr>
      </w:pPr>
      <w:r w:rsidRPr="00FC3C81">
        <w:rPr>
          <w:sz w:val="28"/>
          <w:szCs w:val="28"/>
        </w:rPr>
        <w:t xml:space="preserve">Данный показатель в последние </w:t>
      </w:r>
      <w:r w:rsidR="00EF5FE9">
        <w:rPr>
          <w:sz w:val="28"/>
          <w:szCs w:val="28"/>
        </w:rPr>
        <w:t xml:space="preserve">годы </w:t>
      </w:r>
      <w:r w:rsidRPr="00FC3C81">
        <w:rPr>
          <w:sz w:val="28"/>
          <w:szCs w:val="28"/>
        </w:rPr>
        <w:t xml:space="preserve">имеет тенденцию </w:t>
      </w:r>
      <w:r w:rsidR="00EF5FE9">
        <w:rPr>
          <w:sz w:val="28"/>
          <w:szCs w:val="28"/>
        </w:rPr>
        <w:t>снижения численности работников крупных и средних предприятий,</w:t>
      </w:r>
      <w:r w:rsidRPr="00FC3C81">
        <w:rPr>
          <w:sz w:val="28"/>
          <w:szCs w:val="28"/>
        </w:rPr>
        <w:t xml:space="preserve"> </w:t>
      </w:r>
      <w:r w:rsidR="00DB7A3B" w:rsidRPr="00FC3C81">
        <w:rPr>
          <w:sz w:val="28"/>
          <w:szCs w:val="28"/>
        </w:rPr>
        <w:t>в результате</w:t>
      </w:r>
      <w:r w:rsidRPr="00FC3C81">
        <w:rPr>
          <w:sz w:val="28"/>
          <w:szCs w:val="28"/>
        </w:rPr>
        <w:t xml:space="preserve"> реорганизации системы ПАО «Татнефть»</w:t>
      </w:r>
      <w:r w:rsidR="00C62F25">
        <w:rPr>
          <w:sz w:val="28"/>
          <w:szCs w:val="28"/>
        </w:rPr>
        <w:t xml:space="preserve"> и оптимизации бюджетной сферы</w:t>
      </w:r>
      <w:r w:rsidRPr="00FC3C81">
        <w:rPr>
          <w:sz w:val="28"/>
          <w:szCs w:val="28"/>
        </w:rPr>
        <w:t>.</w:t>
      </w:r>
      <w:r w:rsidR="00DB7A3B" w:rsidRPr="00FC3C81">
        <w:t xml:space="preserve"> </w:t>
      </w:r>
      <w:r w:rsidR="00A67869">
        <w:rPr>
          <w:sz w:val="28"/>
          <w:szCs w:val="28"/>
        </w:rPr>
        <w:t>Сервисные компании выводятся</w:t>
      </w:r>
      <w:r w:rsidR="00DB7A3B" w:rsidRPr="00FC3C81">
        <w:rPr>
          <w:sz w:val="28"/>
          <w:szCs w:val="28"/>
        </w:rPr>
        <w:t xml:space="preserve"> из состава </w:t>
      </w:r>
      <w:r w:rsidR="00EF5FE9">
        <w:rPr>
          <w:sz w:val="28"/>
          <w:szCs w:val="28"/>
        </w:rPr>
        <w:t>системы</w:t>
      </w:r>
      <w:r w:rsidR="00DB7A3B" w:rsidRPr="00FC3C81">
        <w:rPr>
          <w:sz w:val="28"/>
          <w:szCs w:val="28"/>
        </w:rPr>
        <w:t>, изменяется структура работников, в сторону сокращения высокооплачиваемых должностей, выводится бухга</w:t>
      </w:r>
      <w:r w:rsidR="00184924">
        <w:rPr>
          <w:sz w:val="28"/>
          <w:szCs w:val="28"/>
        </w:rPr>
        <w:t xml:space="preserve">лтерская службы на аутсорсинг. </w:t>
      </w:r>
      <w:r w:rsidR="00DB7A3B" w:rsidRPr="00FC3C81">
        <w:rPr>
          <w:sz w:val="28"/>
          <w:szCs w:val="28"/>
        </w:rPr>
        <w:t>Прогнозируем, что в плановый период данная тенденция сохранится. Новых к</w:t>
      </w:r>
      <w:r w:rsidR="008B3B82">
        <w:rPr>
          <w:sz w:val="28"/>
          <w:szCs w:val="28"/>
        </w:rPr>
        <w:t>рупных производств, с созданием</w:t>
      </w:r>
      <w:r w:rsidR="00DB7A3B" w:rsidRPr="00FC3C81">
        <w:rPr>
          <w:sz w:val="28"/>
          <w:szCs w:val="28"/>
        </w:rPr>
        <w:t xml:space="preserve"> рабочих мест, на территории района в плановый период не планируется.</w:t>
      </w:r>
      <w:r w:rsidR="000458FF">
        <w:rPr>
          <w:sz w:val="28"/>
          <w:szCs w:val="28"/>
        </w:rPr>
        <w:t xml:space="preserve"> Идет небольшой рост численност</w:t>
      </w:r>
      <w:r w:rsidR="00AC6066">
        <w:rPr>
          <w:sz w:val="28"/>
          <w:szCs w:val="28"/>
        </w:rPr>
        <w:t>и работников малых предприятий и</w:t>
      </w:r>
      <w:r w:rsidR="004F67C8">
        <w:rPr>
          <w:sz w:val="28"/>
          <w:szCs w:val="28"/>
        </w:rPr>
        <w:t xml:space="preserve"> </w:t>
      </w:r>
      <w:proofErr w:type="spellStart"/>
      <w:r w:rsidR="004F67C8">
        <w:rPr>
          <w:sz w:val="28"/>
          <w:szCs w:val="28"/>
        </w:rPr>
        <w:t>самозанятых</w:t>
      </w:r>
      <w:proofErr w:type="spellEnd"/>
      <w:r w:rsidR="004F67C8">
        <w:rPr>
          <w:sz w:val="28"/>
          <w:szCs w:val="28"/>
        </w:rPr>
        <w:t xml:space="preserve"> граждан.</w:t>
      </w:r>
    </w:p>
    <w:p w:rsidR="00DB7A3B" w:rsidRPr="00F62A3E" w:rsidRDefault="00DB7A3B" w:rsidP="002D1004">
      <w:pPr>
        <w:pStyle w:val="1"/>
        <w:rPr>
          <w:rFonts w:ascii="Times New Roman" w:hAnsi="Times New Roman" w:cs="Times New Roman"/>
          <w:color w:val="auto"/>
        </w:rPr>
      </w:pPr>
      <w:r w:rsidRPr="00F62A3E">
        <w:rPr>
          <w:rFonts w:ascii="Times New Roman" w:hAnsi="Times New Roman" w:cs="Times New Roman"/>
          <w:color w:val="auto"/>
        </w:rPr>
        <w:t>Среднемесячная номинальная начисленная заработная плата</w:t>
      </w:r>
    </w:p>
    <w:p w:rsidR="00E97B1A" w:rsidRDefault="0065705B" w:rsidP="002D1004">
      <w:p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Начисленная заработная плата работников крупных и средних предприятий за январь-март </w:t>
      </w:r>
      <w:r w:rsidR="00AA37DC">
        <w:rPr>
          <w:sz w:val="28"/>
          <w:szCs w:val="28"/>
        </w:rPr>
        <w:t>202</w:t>
      </w:r>
      <w:r w:rsidR="000458FF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составила </w:t>
      </w:r>
      <w:r w:rsidR="005D79BB">
        <w:rPr>
          <w:sz w:val="28"/>
          <w:szCs w:val="28"/>
        </w:rPr>
        <w:t>54833,4</w:t>
      </w:r>
      <w:r>
        <w:rPr>
          <w:sz w:val="28"/>
          <w:szCs w:val="28"/>
        </w:rPr>
        <w:t xml:space="preserve"> рубл</w:t>
      </w:r>
      <w:r w:rsidR="009E3176">
        <w:rPr>
          <w:sz w:val="28"/>
          <w:szCs w:val="28"/>
        </w:rPr>
        <w:t>ей</w:t>
      </w:r>
      <w:r>
        <w:rPr>
          <w:sz w:val="28"/>
          <w:szCs w:val="28"/>
        </w:rPr>
        <w:t>, т</w:t>
      </w:r>
      <w:r w:rsidR="00F40A8B">
        <w:rPr>
          <w:sz w:val="28"/>
          <w:szCs w:val="28"/>
        </w:rPr>
        <w:t xml:space="preserve">емп роста составляет </w:t>
      </w:r>
      <w:r w:rsidR="005D79BB">
        <w:rPr>
          <w:sz w:val="28"/>
          <w:szCs w:val="28"/>
        </w:rPr>
        <w:t>121,4</w:t>
      </w:r>
      <w:r w:rsidR="009E3176" w:rsidRPr="00E54D5D">
        <w:rPr>
          <w:sz w:val="28"/>
          <w:szCs w:val="28"/>
        </w:rPr>
        <w:t xml:space="preserve"> </w:t>
      </w:r>
      <w:r w:rsidR="00F40A8B" w:rsidRPr="00E54D5D">
        <w:rPr>
          <w:sz w:val="28"/>
          <w:szCs w:val="28"/>
        </w:rPr>
        <w:t xml:space="preserve">% к аналогичному периоду прошлого года. </w:t>
      </w:r>
      <w:r w:rsidR="00E97B1A" w:rsidRPr="00E54D5D">
        <w:rPr>
          <w:sz w:val="28"/>
          <w:szCs w:val="28"/>
        </w:rPr>
        <w:t xml:space="preserve">Индекс реальной заработной платы работников крупных и средних предприятий по итогам 1 квартала </w:t>
      </w:r>
      <w:r w:rsidR="00AA37DC" w:rsidRPr="00E54D5D">
        <w:rPr>
          <w:sz w:val="28"/>
          <w:szCs w:val="28"/>
        </w:rPr>
        <w:t>202</w:t>
      </w:r>
      <w:r w:rsidR="005D79BB">
        <w:rPr>
          <w:sz w:val="28"/>
          <w:szCs w:val="28"/>
        </w:rPr>
        <w:t>3</w:t>
      </w:r>
      <w:r w:rsidR="00E97B1A" w:rsidRPr="00E54D5D">
        <w:rPr>
          <w:sz w:val="28"/>
          <w:szCs w:val="28"/>
        </w:rPr>
        <w:t xml:space="preserve"> года составляет </w:t>
      </w:r>
      <w:r w:rsidR="005D79BB">
        <w:rPr>
          <w:sz w:val="28"/>
          <w:szCs w:val="28"/>
        </w:rPr>
        <w:t>112,5</w:t>
      </w:r>
      <w:r w:rsidR="00E97B1A" w:rsidRPr="00E54D5D">
        <w:rPr>
          <w:sz w:val="28"/>
          <w:szCs w:val="28"/>
        </w:rPr>
        <w:t xml:space="preserve"> %.</w:t>
      </w:r>
      <w:r w:rsidRPr="00E54D5D">
        <w:rPr>
          <w:sz w:val="28"/>
          <w:szCs w:val="28"/>
        </w:rPr>
        <w:t xml:space="preserve"> </w:t>
      </w:r>
      <w:r w:rsidRPr="00E54D5D">
        <w:rPr>
          <w:b/>
          <w:sz w:val="28"/>
          <w:szCs w:val="28"/>
        </w:rPr>
        <w:t xml:space="preserve">По итогам </w:t>
      </w:r>
      <w:r w:rsidR="00FE464B" w:rsidRPr="00E54D5D">
        <w:rPr>
          <w:b/>
          <w:sz w:val="28"/>
          <w:szCs w:val="28"/>
        </w:rPr>
        <w:t>202</w:t>
      </w:r>
      <w:r w:rsidR="005D79BB">
        <w:rPr>
          <w:b/>
          <w:sz w:val="28"/>
          <w:szCs w:val="28"/>
        </w:rPr>
        <w:t>2</w:t>
      </w:r>
      <w:r w:rsidRPr="00E54D5D">
        <w:rPr>
          <w:b/>
          <w:sz w:val="28"/>
          <w:szCs w:val="28"/>
        </w:rPr>
        <w:t xml:space="preserve"> года заработная плата</w:t>
      </w:r>
      <w:r w:rsidR="005D79BB">
        <w:rPr>
          <w:b/>
          <w:sz w:val="28"/>
          <w:szCs w:val="28"/>
        </w:rPr>
        <w:t xml:space="preserve"> работников по полному кругу предприятий</w:t>
      </w:r>
      <w:r w:rsidRPr="00E54D5D">
        <w:rPr>
          <w:b/>
          <w:sz w:val="28"/>
          <w:szCs w:val="28"/>
        </w:rPr>
        <w:t xml:space="preserve"> состав</w:t>
      </w:r>
      <w:r w:rsidR="005D79BB">
        <w:rPr>
          <w:b/>
          <w:sz w:val="28"/>
          <w:szCs w:val="28"/>
        </w:rPr>
        <w:t>ила</w:t>
      </w:r>
      <w:r w:rsidRPr="00E54D5D">
        <w:rPr>
          <w:b/>
          <w:sz w:val="28"/>
          <w:szCs w:val="28"/>
        </w:rPr>
        <w:t xml:space="preserve"> </w:t>
      </w:r>
      <w:r w:rsidR="0041130E">
        <w:rPr>
          <w:b/>
          <w:sz w:val="28"/>
          <w:szCs w:val="28"/>
        </w:rPr>
        <w:t>4</w:t>
      </w:r>
      <w:r w:rsidR="005D79BB">
        <w:rPr>
          <w:b/>
          <w:sz w:val="28"/>
          <w:szCs w:val="28"/>
        </w:rPr>
        <w:t>8 413,26</w:t>
      </w:r>
      <w:r w:rsidRPr="00E54D5D">
        <w:rPr>
          <w:b/>
          <w:sz w:val="28"/>
          <w:szCs w:val="28"/>
        </w:rPr>
        <w:t xml:space="preserve"> рубл</w:t>
      </w:r>
      <w:r w:rsidR="005D79BB">
        <w:rPr>
          <w:b/>
          <w:sz w:val="28"/>
          <w:szCs w:val="28"/>
        </w:rPr>
        <w:t>ей, темп роста 120,5%</w:t>
      </w:r>
      <w:r w:rsidRPr="00E54D5D">
        <w:rPr>
          <w:sz w:val="28"/>
          <w:szCs w:val="28"/>
        </w:rPr>
        <w:t>.</w:t>
      </w:r>
    </w:p>
    <w:p w:rsidR="007E46E5" w:rsidRDefault="007E46E5" w:rsidP="002D1004">
      <w:p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 предыдущие годы темп роста заработной платы обеспечивало уменьшение численности работников организаций и предприятий.</w:t>
      </w:r>
      <w:r w:rsidR="00E34D53">
        <w:rPr>
          <w:sz w:val="28"/>
          <w:szCs w:val="28"/>
        </w:rPr>
        <w:t xml:space="preserve"> </w:t>
      </w:r>
      <w:r w:rsidR="00DE416B">
        <w:rPr>
          <w:sz w:val="28"/>
          <w:szCs w:val="28"/>
        </w:rPr>
        <w:t>2022 год характеризуется сохранением численности работников предприятий и</w:t>
      </w:r>
      <w:r w:rsidR="00C4568B">
        <w:rPr>
          <w:sz w:val="28"/>
          <w:szCs w:val="28"/>
        </w:rPr>
        <w:t xml:space="preserve"> организаций на уровне 2021 года, что является положительным фактором для экономики в целом.</w:t>
      </w:r>
      <w:r w:rsidR="00DE416B">
        <w:rPr>
          <w:sz w:val="28"/>
          <w:szCs w:val="28"/>
        </w:rPr>
        <w:t xml:space="preserve"> </w:t>
      </w:r>
      <w:r w:rsidR="00C4568B">
        <w:rPr>
          <w:sz w:val="28"/>
          <w:szCs w:val="28"/>
        </w:rPr>
        <w:t xml:space="preserve">Однако при  стабилизации численности работников </w:t>
      </w:r>
      <w:r w:rsidR="00C4568B">
        <w:rPr>
          <w:sz w:val="28"/>
          <w:szCs w:val="28"/>
        </w:rPr>
        <w:lastRenderedPageBreak/>
        <w:t>предприятий и организаций т</w:t>
      </w:r>
      <w:r w:rsidR="00DE416B">
        <w:rPr>
          <w:sz w:val="28"/>
          <w:szCs w:val="28"/>
        </w:rPr>
        <w:t xml:space="preserve">емп роста заработной платы в 2023 году, а также последующие </w:t>
      </w:r>
      <w:r w:rsidR="00C4568B">
        <w:rPr>
          <w:sz w:val="28"/>
          <w:szCs w:val="28"/>
        </w:rPr>
        <w:t>2024 –</w:t>
      </w:r>
      <w:r w:rsidR="00DE416B">
        <w:rPr>
          <w:sz w:val="28"/>
          <w:szCs w:val="28"/>
        </w:rPr>
        <w:t xml:space="preserve"> 2026</w:t>
      </w:r>
      <w:r w:rsidR="007F3797">
        <w:rPr>
          <w:sz w:val="28"/>
          <w:szCs w:val="28"/>
        </w:rPr>
        <w:t xml:space="preserve"> годы прогнозируем в среднем на 110-107</w:t>
      </w:r>
      <w:r w:rsidR="00C4568B">
        <w:rPr>
          <w:sz w:val="28"/>
          <w:szCs w:val="28"/>
        </w:rPr>
        <w:t>%.</w:t>
      </w:r>
    </w:p>
    <w:p w:rsidR="00184924" w:rsidRDefault="00184924" w:rsidP="002D1004">
      <w:pPr>
        <w:spacing w:line="240" w:lineRule="auto"/>
        <w:ind w:firstLine="709"/>
        <w:rPr>
          <w:sz w:val="28"/>
          <w:szCs w:val="28"/>
        </w:rPr>
      </w:pPr>
    </w:p>
    <w:p w:rsidR="00184924" w:rsidRDefault="00184924" w:rsidP="002D1004">
      <w:p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Динамика численности работников и заработной платы по полному кругу предприятий и организаций за 2018-202</w:t>
      </w:r>
      <w:r w:rsidR="00DD0734">
        <w:rPr>
          <w:sz w:val="28"/>
          <w:szCs w:val="28"/>
        </w:rPr>
        <w:t>3</w:t>
      </w:r>
      <w:r>
        <w:rPr>
          <w:sz w:val="28"/>
          <w:szCs w:val="28"/>
        </w:rPr>
        <w:t xml:space="preserve"> годы и прогноз до 2026 года</w:t>
      </w:r>
    </w:p>
    <w:p w:rsidR="00DE416B" w:rsidRDefault="00221F4D" w:rsidP="002D1004">
      <w:pPr>
        <w:spacing w:line="24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№2</w:t>
      </w:r>
    </w:p>
    <w:tbl>
      <w:tblPr>
        <w:tblStyle w:val="a7"/>
        <w:tblW w:w="10916" w:type="dxa"/>
        <w:tblInd w:w="-318" w:type="dxa"/>
        <w:tblLayout w:type="fixed"/>
        <w:tblLook w:val="04A0"/>
      </w:tblPr>
      <w:tblGrid>
        <w:gridCol w:w="1986"/>
        <w:gridCol w:w="866"/>
        <w:gridCol w:w="1008"/>
        <w:gridCol w:w="1008"/>
        <w:gridCol w:w="1008"/>
        <w:gridCol w:w="1008"/>
        <w:gridCol w:w="1008"/>
        <w:gridCol w:w="1008"/>
        <w:gridCol w:w="1008"/>
        <w:gridCol w:w="1008"/>
      </w:tblGrid>
      <w:tr w:rsidR="007E46E5" w:rsidRPr="00725F9F" w:rsidTr="000B51CC">
        <w:tc>
          <w:tcPr>
            <w:tcW w:w="1986" w:type="dxa"/>
          </w:tcPr>
          <w:p w:rsidR="007E46E5" w:rsidRPr="00725F9F" w:rsidRDefault="007E46E5" w:rsidP="002D1004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725F9F">
              <w:rPr>
                <w:sz w:val="20"/>
              </w:rPr>
              <w:t>Показатель</w:t>
            </w:r>
          </w:p>
        </w:tc>
        <w:tc>
          <w:tcPr>
            <w:tcW w:w="866" w:type="dxa"/>
          </w:tcPr>
          <w:p w:rsidR="007E46E5" w:rsidRDefault="007E46E5" w:rsidP="002D100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  <w:p w:rsidR="007E46E5" w:rsidRPr="00725F9F" w:rsidRDefault="007E46E5" w:rsidP="002D100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отчет</w:t>
            </w:r>
          </w:p>
        </w:tc>
        <w:tc>
          <w:tcPr>
            <w:tcW w:w="1008" w:type="dxa"/>
          </w:tcPr>
          <w:p w:rsidR="007E46E5" w:rsidRPr="00725F9F" w:rsidRDefault="007E46E5" w:rsidP="002D100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25F9F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</w:p>
          <w:p w:rsidR="007E46E5" w:rsidRPr="00725F9F" w:rsidRDefault="007E46E5" w:rsidP="002D100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25F9F">
              <w:rPr>
                <w:sz w:val="22"/>
                <w:szCs w:val="22"/>
              </w:rPr>
              <w:t>отчет</w:t>
            </w:r>
          </w:p>
        </w:tc>
        <w:tc>
          <w:tcPr>
            <w:tcW w:w="1008" w:type="dxa"/>
          </w:tcPr>
          <w:p w:rsidR="007E46E5" w:rsidRPr="00725F9F" w:rsidRDefault="007E46E5" w:rsidP="002D100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25F9F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</w:p>
          <w:p w:rsidR="007E46E5" w:rsidRPr="00725F9F" w:rsidRDefault="007E46E5" w:rsidP="002D100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25F9F">
              <w:rPr>
                <w:sz w:val="22"/>
                <w:szCs w:val="22"/>
              </w:rPr>
              <w:t>отчет</w:t>
            </w:r>
          </w:p>
        </w:tc>
        <w:tc>
          <w:tcPr>
            <w:tcW w:w="1008" w:type="dxa"/>
          </w:tcPr>
          <w:p w:rsidR="007E46E5" w:rsidRPr="00725F9F" w:rsidRDefault="007E46E5" w:rsidP="002D100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25F9F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</w:p>
          <w:p w:rsidR="007E46E5" w:rsidRPr="00725F9F" w:rsidRDefault="007E46E5" w:rsidP="002D100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25F9F">
              <w:rPr>
                <w:sz w:val="22"/>
                <w:szCs w:val="22"/>
              </w:rPr>
              <w:t>отчет</w:t>
            </w:r>
          </w:p>
        </w:tc>
        <w:tc>
          <w:tcPr>
            <w:tcW w:w="1008" w:type="dxa"/>
          </w:tcPr>
          <w:p w:rsidR="007E46E5" w:rsidRPr="00725F9F" w:rsidRDefault="007E46E5" w:rsidP="002D100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25F9F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</w:p>
          <w:p w:rsidR="007E46E5" w:rsidRPr="00725F9F" w:rsidRDefault="007E46E5" w:rsidP="002D100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отчет</w:t>
            </w:r>
          </w:p>
        </w:tc>
        <w:tc>
          <w:tcPr>
            <w:tcW w:w="1008" w:type="dxa"/>
          </w:tcPr>
          <w:p w:rsidR="007E46E5" w:rsidRPr="00725F9F" w:rsidRDefault="007E46E5" w:rsidP="002D100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25F9F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</w:p>
          <w:p w:rsidR="007E46E5" w:rsidRPr="00725F9F" w:rsidRDefault="007E46E5" w:rsidP="002D100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25F9F">
              <w:rPr>
                <w:sz w:val="22"/>
                <w:szCs w:val="22"/>
              </w:rPr>
              <w:t>оценка</w:t>
            </w:r>
          </w:p>
        </w:tc>
        <w:tc>
          <w:tcPr>
            <w:tcW w:w="1008" w:type="dxa"/>
          </w:tcPr>
          <w:p w:rsidR="007E46E5" w:rsidRPr="00725F9F" w:rsidRDefault="007E46E5" w:rsidP="002D100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25F9F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</w:p>
          <w:p w:rsidR="007E46E5" w:rsidRPr="00725F9F" w:rsidRDefault="007E46E5" w:rsidP="002D100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25F9F">
              <w:rPr>
                <w:sz w:val="22"/>
                <w:szCs w:val="22"/>
              </w:rPr>
              <w:t>прогноз</w:t>
            </w:r>
          </w:p>
        </w:tc>
        <w:tc>
          <w:tcPr>
            <w:tcW w:w="1008" w:type="dxa"/>
          </w:tcPr>
          <w:p w:rsidR="007E46E5" w:rsidRPr="00725F9F" w:rsidRDefault="007E46E5" w:rsidP="002D100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25F9F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</w:p>
          <w:p w:rsidR="007E46E5" w:rsidRPr="00725F9F" w:rsidRDefault="007E46E5" w:rsidP="002D100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25F9F">
              <w:rPr>
                <w:sz w:val="22"/>
                <w:szCs w:val="22"/>
              </w:rPr>
              <w:t>прогноз</w:t>
            </w:r>
          </w:p>
        </w:tc>
        <w:tc>
          <w:tcPr>
            <w:tcW w:w="1008" w:type="dxa"/>
          </w:tcPr>
          <w:p w:rsidR="007E46E5" w:rsidRPr="00725F9F" w:rsidRDefault="007E46E5" w:rsidP="002D100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25F9F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 прогноз</w:t>
            </w:r>
          </w:p>
        </w:tc>
      </w:tr>
      <w:tr w:rsidR="00E34D53" w:rsidRPr="00DE416B" w:rsidTr="000B51CC">
        <w:tc>
          <w:tcPr>
            <w:tcW w:w="1986" w:type="dxa"/>
          </w:tcPr>
          <w:p w:rsidR="00E34D53" w:rsidRPr="00725F9F" w:rsidRDefault="00E34D53" w:rsidP="002D1004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Численность работников предприятий и организаций, чел</w:t>
            </w:r>
          </w:p>
        </w:tc>
        <w:tc>
          <w:tcPr>
            <w:tcW w:w="866" w:type="dxa"/>
            <w:vAlign w:val="center"/>
          </w:tcPr>
          <w:p w:rsidR="00E34D53" w:rsidRPr="00DE416B" w:rsidRDefault="00DE416B" w:rsidP="002D1004">
            <w:pPr>
              <w:ind w:firstLine="0"/>
              <w:jc w:val="center"/>
              <w:rPr>
                <w:sz w:val="20"/>
              </w:rPr>
            </w:pPr>
            <w:r w:rsidRPr="00DE416B">
              <w:rPr>
                <w:sz w:val="20"/>
              </w:rPr>
              <w:t>17533</w:t>
            </w:r>
          </w:p>
        </w:tc>
        <w:tc>
          <w:tcPr>
            <w:tcW w:w="1008" w:type="dxa"/>
            <w:vAlign w:val="center"/>
          </w:tcPr>
          <w:p w:rsidR="00E34D53" w:rsidRPr="00DE416B" w:rsidRDefault="00E34D53" w:rsidP="002D1004">
            <w:pPr>
              <w:ind w:firstLine="0"/>
              <w:jc w:val="center"/>
              <w:rPr>
                <w:sz w:val="20"/>
              </w:rPr>
            </w:pPr>
            <w:r w:rsidRPr="00DE416B">
              <w:rPr>
                <w:sz w:val="20"/>
              </w:rPr>
              <w:t>17084</w:t>
            </w:r>
          </w:p>
        </w:tc>
        <w:tc>
          <w:tcPr>
            <w:tcW w:w="1008" w:type="dxa"/>
            <w:vAlign w:val="center"/>
          </w:tcPr>
          <w:p w:rsidR="00E34D53" w:rsidRPr="00DE416B" w:rsidRDefault="00E34D53" w:rsidP="002D1004">
            <w:pPr>
              <w:ind w:firstLine="0"/>
              <w:jc w:val="center"/>
              <w:rPr>
                <w:sz w:val="20"/>
              </w:rPr>
            </w:pPr>
            <w:r w:rsidRPr="00DE416B">
              <w:rPr>
                <w:sz w:val="20"/>
              </w:rPr>
              <w:t>15951</w:t>
            </w:r>
          </w:p>
        </w:tc>
        <w:tc>
          <w:tcPr>
            <w:tcW w:w="1008" w:type="dxa"/>
            <w:vAlign w:val="center"/>
          </w:tcPr>
          <w:p w:rsidR="00E34D53" w:rsidRPr="00DE416B" w:rsidRDefault="00E34D53" w:rsidP="002D1004">
            <w:pPr>
              <w:ind w:firstLine="0"/>
              <w:jc w:val="center"/>
              <w:rPr>
                <w:sz w:val="20"/>
              </w:rPr>
            </w:pPr>
            <w:r w:rsidRPr="00DE416B">
              <w:rPr>
                <w:sz w:val="20"/>
              </w:rPr>
              <w:t>14728</w:t>
            </w:r>
          </w:p>
        </w:tc>
        <w:tc>
          <w:tcPr>
            <w:tcW w:w="1008" w:type="dxa"/>
            <w:vAlign w:val="center"/>
          </w:tcPr>
          <w:p w:rsidR="00E34D53" w:rsidRPr="00DE416B" w:rsidRDefault="00E34D53" w:rsidP="002D1004">
            <w:pPr>
              <w:ind w:firstLine="0"/>
              <w:jc w:val="center"/>
              <w:rPr>
                <w:sz w:val="20"/>
              </w:rPr>
            </w:pPr>
            <w:r w:rsidRPr="00DE416B">
              <w:rPr>
                <w:sz w:val="20"/>
              </w:rPr>
              <w:t>14730</w:t>
            </w:r>
          </w:p>
        </w:tc>
        <w:tc>
          <w:tcPr>
            <w:tcW w:w="1008" w:type="dxa"/>
            <w:vAlign w:val="center"/>
          </w:tcPr>
          <w:p w:rsidR="00E34D53" w:rsidRPr="00DE416B" w:rsidRDefault="00E34D53" w:rsidP="002D1004">
            <w:pPr>
              <w:ind w:firstLine="0"/>
              <w:jc w:val="center"/>
              <w:rPr>
                <w:sz w:val="20"/>
              </w:rPr>
            </w:pPr>
            <w:r w:rsidRPr="00DE416B">
              <w:rPr>
                <w:sz w:val="20"/>
              </w:rPr>
              <w:t xml:space="preserve">14 </w:t>
            </w:r>
            <w:r w:rsidR="00DD0734">
              <w:rPr>
                <w:sz w:val="20"/>
              </w:rPr>
              <w:t>650</w:t>
            </w:r>
          </w:p>
        </w:tc>
        <w:tc>
          <w:tcPr>
            <w:tcW w:w="1008" w:type="dxa"/>
            <w:vAlign w:val="center"/>
          </w:tcPr>
          <w:p w:rsidR="00E34D53" w:rsidRPr="00DE416B" w:rsidRDefault="00E34D53" w:rsidP="002D1004">
            <w:pPr>
              <w:ind w:firstLine="0"/>
              <w:jc w:val="center"/>
              <w:rPr>
                <w:sz w:val="20"/>
              </w:rPr>
            </w:pPr>
            <w:r w:rsidRPr="00DE416B">
              <w:rPr>
                <w:sz w:val="20"/>
              </w:rPr>
              <w:t xml:space="preserve">14 </w:t>
            </w:r>
            <w:r w:rsidR="00DD0734">
              <w:rPr>
                <w:sz w:val="20"/>
              </w:rPr>
              <w:t>575</w:t>
            </w:r>
          </w:p>
        </w:tc>
        <w:tc>
          <w:tcPr>
            <w:tcW w:w="1008" w:type="dxa"/>
            <w:vAlign w:val="center"/>
          </w:tcPr>
          <w:p w:rsidR="00E34D53" w:rsidRPr="00DE416B" w:rsidRDefault="00E34D53" w:rsidP="002D1004">
            <w:pPr>
              <w:ind w:firstLine="0"/>
              <w:jc w:val="center"/>
              <w:rPr>
                <w:sz w:val="20"/>
              </w:rPr>
            </w:pPr>
            <w:r w:rsidRPr="00DE416B">
              <w:rPr>
                <w:sz w:val="20"/>
              </w:rPr>
              <w:t xml:space="preserve">14 </w:t>
            </w:r>
            <w:r w:rsidR="00DD0734">
              <w:rPr>
                <w:sz w:val="20"/>
              </w:rPr>
              <w:t>6</w:t>
            </w:r>
            <w:r w:rsidRPr="00DE416B">
              <w:rPr>
                <w:sz w:val="20"/>
              </w:rPr>
              <w:t>00</w:t>
            </w:r>
          </w:p>
        </w:tc>
        <w:tc>
          <w:tcPr>
            <w:tcW w:w="1008" w:type="dxa"/>
            <w:vAlign w:val="center"/>
          </w:tcPr>
          <w:p w:rsidR="00E34D53" w:rsidRPr="00DE416B" w:rsidRDefault="00E34D53" w:rsidP="002D1004">
            <w:pPr>
              <w:ind w:firstLine="0"/>
              <w:jc w:val="center"/>
              <w:rPr>
                <w:sz w:val="20"/>
              </w:rPr>
            </w:pPr>
            <w:r w:rsidRPr="00DE416B">
              <w:rPr>
                <w:sz w:val="20"/>
              </w:rPr>
              <w:t>14 6</w:t>
            </w:r>
            <w:r w:rsidR="00DD0734">
              <w:rPr>
                <w:sz w:val="20"/>
              </w:rPr>
              <w:t>2</w:t>
            </w:r>
            <w:r w:rsidRPr="00DE416B">
              <w:rPr>
                <w:sz w:val="20"/>
              </w:rPr>
              <w:t>0</w:t>
            </w:r>
          </w:p>
        </w:tc>
      </w:tr>
      <w:tr w:rsidR="00E34D53" w:rsidRPr="00DE416B" w:rsidTr="000B51CC">
        <w:tc>
          <w:tcPr>
            <w:tcW w:w="1986" w:type="dxa"/>
          </w:tcPr>
          <w:p w:rsidR="00E34D53" w:rsidRDefault="00E34D53" w:rsidP="002D1004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к предыдущему году</w:t>
            </w:r>
          </w:p>
        </w:tc>
        <w:tc>
          <w:tcPr>
            <w:tcW w:w="866" w:type="dxa"/>
            <w:vAlign w:val="center"/>
          </w:tcPr>
          <w:p w:rsidR="00E34D53" w:rsidRPr="00DE416B" w:rsidRDefault="00DE416B" w:rsidP="002D1004">
            <w:pPr>
              <w:ind w:firstLine="0"/>
              <w:jc w:val="center"/>
              <w:rPr>
                <w:sz w:val="20"/>
              </w:rPr>
            </w:pPr>
            <w:r w:rsidRPr="00DE416B">
              <w:rPr>
                <w:sz w:val="20"/>
              </w:rPr>
              <w:t>98,87</w:t>
            </w:r>
          </w:p>
        </w:tc>
        <w:tc>
          <w:tcPr>
            <w:tcW w:w="1008" w:type="dxa"/>
            <w:vAlign w:val="center"/>
          </w:tcPr>
          <w:p w:rsidR="00E34D53" w:rsidRPr="00DE416B" w:rsidRDefault="00E34D53" w:rsidP="002D1004">
            <w:pPr>
              <w:ind w:firstLine="0"/>
              <w:jc w:val="center"/>
              <w:rPr>
                <w:sz w:val="20"/>
              </w:rPr>
            </w:pPr>
            <w:r w:rsidRPr="00DE416B">
              <w:rPr>
                <w:sz w:val="20"/>
              </w:rPr>
              <w:t>97,44</w:t>
            </w:r>
          </w:p>
        </w:tc>
        <w:tc>
          <w:tcPr>
            <w:tcW w:w="1008" w:type="dxa"/>
            <w:vAlign w:val="center"/>
          </w:tcPr>
          <w:p w:rsidR="00E34D53" w:rsidRPr="00DE416B" w:rsidRDefault="00E34D53" w:rsidP="002D1004">
            <w:pPr>
              <w:ind w:firstLine="0"/>
              <w:jc w:val="center"/>
              <w:rPr>
                <w:sz w:val="20"/>
              </w:rPr>
            </w:pPr>
            <w:r w:rsidRPr="00DE416B">
              <w:rPr>
                <w:sz w:val="20"/>
              </w:rPr>
              <w:t>93,4</w:t>
            </w:r>
          </w:p>
        </w:tc>
        <w:tc>
          <w:tcPr>
            <w:tcW w:w="1008" w:type="dxa"/>
            <w:vAlign w:val="center"/>
          </w:tcPr>
          <w:p w:rsidR="00E34D53" w:rsidRPr="00DE416B" w:rsidRDefault="00E34D53" w:rsidP="002D1004">
            <w:pPr>
              <w:ind w:firstLine="0"/>
              <w:jc w:val="center"/>
              <w:rPr>
                <w:sz w:val="20"/>
              </w:rPr>
            </w:pPr>
            <w:r w:rsidRPr="00DE416B">
              <w:rPr>
                <w:sz w:val="20"/>
              </w:rPr>
              <w:t>92,33</w:t>
            </w:r>
          </w:p>
        </w:tc>
        <w:tc>
          <w:tcPr>
            <w:tcW w:w="1008" w:type="dxa"/>
            <w:vAlign w:val="center"/>
          </w:tcPr>
          <w:p w:rsidR="00E34D53" w:rsidRPr="00DE416B" w:rsidRDefault="00E34D53" w:rsidP="002D1004">
            <w:pPr>
              <w:ind w:firstLine="0"/>
              <w:jc w:val="center"/>
              <w:rPr>
                <w:sz w:val="20"/>
              </w:rPr>
            </w:pPr>
            <w:r w:rsidRPr="00DE416B">
              <w:rPr>
                <w:sz w:val="20"/>
              </w:rPr>
              <w:t>100,00</w:t>
            </w:r>
          </w:p>
        </w:tc>
        <w:tc>
          <w:tcPr>
            <w:tcW w:w="1008" w:type="dxa"/>
            <w:vAlign w:val="center"/>
          </w:tcPr>
          <w:p w:rsidR="00E34D53" w:rsidRPr="00DE416B" w:rsidRDefault="00E34D53" w:rsidP="002D1004">
            <w:pPr>
              <w:ind w:firstLine="0"/>
              <w:jc w:val="center"/>
              <w:rPr>
                <w:sz w:val="20"/>
              </w:rPr>
            </w:pPr>
            <w:r w:rsidRPr="00DE416B">
              <w:rPr>
                <w:sz w:val="20"/>
              </w:rPr>
              <w:t>99,</w:t>
            </w:r>
            <w:r w:rsidR="00DD0734">
              <w:rPr>
                <w:sz w:val="20"/>
              </w:rPr>
              <w:t>46</w:t>
            </w:r>
          </w:p>
        </w:tc>
        <w:tc>
          <w:tcPr>
            <w:tcW w:w="1008" w:type="dxa"/>
            <w:vAlign w:val="center"/>
          </w:tcPr>
          <w:p w:rsidR="00E34D53" w:rsidRPr="00DE416B" w:rsidRDefault="00E34D53" w:rsidP="002D1004">
            <w:pPr>
              <w:ind w:firstLine="0"/>
              <w:jc w:val="center"/>
              <w:rPr>
                <w:sz w:val="20"/>
              </w:rPr>
            </w:pPr>
            <w:r w:rsidRPr="00DE416B">
              <w:rPr>
                <w:sz w:val="20"/>
              </w:rPr>
              <w:t>99,</w:t>
            </w:r>
            <w:r w:rsidR="00DD0734">
              <w:rPr>
                <w:sz w:val="20"/>
              </w:rPr>
              <w:t>49</w:t>
            </w:r>
          </w:p>
        </w:tc>
        <w:tc>
          <w:tcPr>
            <w:tcW w:w="1008" w:type="dxa"/>
            <w:vAlign w:val="center"/>
          </w:tcPr>
          <w:p w:rsidR="00E34D53" w:rsidRPr="00DE416B" w:rsidRDefault="00DD0734" w:rsidP="002D100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100,17</w:t>
            </w:r>
          </w:p>
        </w:tc>
        <w:tc>
          <w:tcPr>
            <w:tcW w:w="1008" w:type="dxa"/>
            <w:vAlign w:val="center"/>
          </w:tcPr>
          <w:p w:rsidR="00E34D53" w:rsidRPr="00DE416B" w:rsidRDefault="00DD0734" w:rsidP="002D100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100,14</w:t>
            </w:r>
          </w:p>
        </w:tc>
      </w:tr>
      <w:tr w:rsidR="00DE416B" w:rsidRPr="00DE416B" w:rsidTr="000B51CC">
        <w:tc>
          <w:tcPr>
            <w:tcW w:w="1986" w:type="dxa"/>
          </w:tcPr>
          <w:p w:rsidR="00DE416B" w:rsidRDefault="00DE416B" w:rsidP="002D1004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Среднемесячная начисленная заработная плата на одного работника, руб.</w:t>
            </w:r>
          </w:p>
        </w:tc>
        <w:tc>
          <w:tcPr>
            <w:tcW w:w="866" w:type="dxa"/>
            <w:vAlign w:val="center"/>
          </w:tcPr>
          <w:p w:rsidR="00DE416B" w:rsidRPr="00DE416B" w:rsidRDefault="00DE416B" w:rsidP="002D1004">
            <w:pPr>
              <w:ind w:firstLine="0"/>
              <w:jc w:val="center"/>
              <w:rPr>
                <w:sz w:val="20"/>
              </w:rPr>
            </w:pPr>
            <w:r w:rsidRPr="00DE416B">
              <w:rPr>
                <w:sz w:val="20"/>
              </w:rPr>
              <w:t>32498,2</w:t>
            </w:r>
          </w:p>
        </w:tc>
        <w:tc>
          <w:tcPr>
            <w:tcW w:w="1008" w:type="dxa"/>
            <w:vAlign w:val="center"/>
          </w:tcPr>
          <w:p w:rsidR="00DE416B" w:rsidRPr="00DE416B" w:rsidRDefault="00DE416B" w:rsidP="002D1004">
            <w:pPr>
              <w:ind w:firstLine="0"/>
              <w:jc w:val="center"/>
              <w:rPr>
                <w:sz w:val="20"/>
              </w:rPr>
            </w:pPr>
            <w:r w:rsidRPr="00DE416B">
              <w:rPr>
                <w:sz w:val="20"/>
              </w:rPr>
              <w:t>34523,38</w:t>
            </w:r>
          </w:p>
        </w:tc>
        <w:tc>
          <w:tcPr>
            <w:tcW w:w="1008" w:type="dxa"/>
            <w:vAlign w:val="center"/>
          </w:tcPr>
          <w:p w:rsidR="00DE416B" w:rsidRPr="00DE416B" w:rsidRDefault="00DE416B" w:rsidP="002D1004">
            <w:pPr>
              <w:ind w:firstLine="0"/>
              <w:jc w:val="center"/>
              <w:rPr>
                <w:sz w:val="20"/>
              </w:rPr>
            </w:pPr>
            <w:r w:rsidRPr="00DE416B">
              <w:rPr>
                <w:sz w:val="20"/>
              </w:rPr>
              <w:t>35341,3</w:t>
            </w:r>
          </w:p>
        </w:tc>
        <w:tc>
          <w:tcPr>
            <w:tcW w:w="1008" w:type="dxa"/>
            <w:vAlign w:val="center"/>
          </w:tcPr>
          <w:p w:rsidR="00DE416B" w:rsidRPr="00DE416B" w:rsidRDefault="00DE416B" w:rsidP="002D1004">
            <w:pPr>
              <w:ind w:firstLine="0"/>
              <w:jc w:val="center"/>
              <w:rPr>
                <w:sz w:val="20"/>
              </w:rPr>
            </w:pPr>
            <w:r w:rsidRPr="00DE416B">
              <w:rPr>
                <w:sz w:val="20"/>
              </w:rPr>
              <w:t>40180,0</w:t>
            </w:r>
          </w:p>
        </w:tc>
        <w:tc>
          <w:tcPr>
            <w:tcW w:w="1008" w:type="dxa"/>
            <w:vAlign w:val="center"/>
          </w:tcPr>
          <w:p w:rsidR="00DE416B" w:rsidRPr="00DE416B" w:rsidRDefault="00DE416B" w:rsidP="002D1004">
            <w:pPr>
              <w:ind w:firstLine="0"/>
              <w:jc w:val="center"/>
              <w:rPr>
                <w:sz w:val="20"/>
              </w:rPr>
            </w:pPr>
            <w:r w:rsidRPr="00DE416B">
              <w:rPr>
                <w:sz w:val="20"/>
              </w:rPr>
              <w:t>48413,26</w:t>
            </w:r>
          </w:p>
        </w:tc>
        <w:tc>
          <w:tcPr>
            <w:tcW w:w="1008" w:type="dxa"/>
            <w:vAlign w:val="center"/>
          </w:tcPr>
          <w:p w:rsidR="00DE416B" w:rsidRPr="00DE416B" w:rsidRDefault="00DD0734" w:rsidP="002D100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53545,39</w:t>
            </w:r>
          </w:p>
        </w:tc>
        <w:tc>
          <w:tcPr>
            <w:tcW w:w="1008" w:type="dxa"/>
            <w:vAlign w:val="center"/>
          </w:tcPr>
          <w:p w:rsidR="00DE416B" w:rsidRPr="00DE416B" w:rsidRDefault="00DD0734" w:rsidP="002D1004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57373,11</w:t>
            </w:r>
          </w:p>
        </w:tc>
        <w:tc>
          <w:tcPr>
            <w:tcW w:w="1008" w:type="dxa"/>
            <w:vAlign w:val="center"/>
          </w:tcPr>
          <w:p w:rsidR="00DE416B" w:rsidRPr="00DE416B" w:rsidRDefault="00DD0734" w:rsidP="002D1004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61455,93</w:t>
            </w:r>
          </w:p>
        </w:tc>
        <w:tc>
          <w:tcPr>
            <w:tcW w:w="1008" w:type="dxa"/>
            <w:vAlign w:val="center"/>
          </w:tcPr>
          <w:p w:rsidR="00DE416B" w:rsidRPr="00DE416B" w:rsidRDefault="00DD0734" w:rsidP="002D1004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65913,38</w:t>
            </w:r>
          </w:p>
        </w:tc>
      </w:tr>
      <w:tr w:rsidR="00DE416B" w:rsidRPr="00DE416B" w:rsidTr="000B51CC">
        <w:tc>
          <w:tcPr>
            <w:tcW w:w="1986" w:type="dxa"/>
          </w:tcPr>
          <w:p w:rsidR="00DE416B" w:rsidRPr="00725F9F" w:rsidRDefault="00DE416B" w:rsidP="002D1004">
            <w:pPr>
              <w:spacing w:line="240" w:lineRule="auto"/>
              <w:ind w:firstLine="0"/>
              <w:rPr>
                <w:sz w:val="20"/>
              </w:rPr>
            </w:pPr>
            <w:r w:rsidRPr="00725F9F">
              <w:rPr>
                <w:sz w:val="20"/>
              </w:rPr>
              <w:t>Темп роста</w:t>
            </w:r>
            <w:r>
              <w:rPr>
                <w:sz w:val="20"/>
              </w:rPr>
              <w:t xml:space="preserve"> заработной платы</w:t>
            </w:r>
            <w:r w:rsidRPr="00725F9F">
              <w:rPr>
                <w:sz w:val="20"/>
              </w:rPr>
              <w:t xml:space="preserve">,% </w:t>
            </w:r>
          </w:p>
        </w:tc>
        <w:tc>
          <w:tcPr>
            <w:tcW w:w="866" w:type="dxa"/>
            <w:vAlign w:val="center"/>
          </w:tcPr>
          <w:p w:rsidR="00DE416B" w:rsidRPr="00DE416B" w:rsidRDefault="00DE416B" w:rsidP="002D1004">
            <w:pPr>
              <w:ind w:firstLine="0"/>
              <w:jc w:val="center"/>
              <w:rPr>
                <w:sz w:val="20"/>
              </w:rPr>
            </w:pPr>
            <w:r w:rsidRPr="00DE416B">
              <w:rPr>
                <w:sz w:val="20"/>
              </w:rPr>
              <w:t>106,97</w:t>
            </w:r>
          </w:p>
        </w:tc>
        <w:tc>
          <w:tcPr>
            <w:tcW w:w="1008" w:type="dxa"/>
            <w:vAlign w:val="center"/>
          </w:tcPr>
          <w:p w:rsidR="00DE416B" w:rsidRPr="00DE416B" w:rsidRDefault="00DE416B" w:rsidP="002D1004">
            <w:pPr>
              <w:ind w:firstLine="0"/>
              <w:jc w:val="center"/>
              <w:rPr>
                <w:sz w:val="20"/>
              </w:rPr>
            </w:pPr>
            <w:r w:rsidRPr="00DE416B">
              <w:rPr>
                <w:sz w:val="20"/>
              </w:rPr>
              <w:t>106,23</w:t>
            </w:r>
          </w:p>
        </w:tc>
        <w:tc>
          <w:tcPr>
            <w:tcW w:w="1008" w:type="dxa"/>
            <w:vAlign w:val="center"/>
          </w:tcPr>
          <w:p w:rsidR="00DE416B" w:rsidRPr="00DE416B" w:rsidRDefault="00DE416B" w:rsidP="002D1004">
            <w:pPr>
              <w:ind w:firstLine="0"/>
              <w:jc w:val="center"/>
              <w:rPr>
                <w:sz w:val="20"/>
              </w:rPr>
            </w:pPr>
            <w:r w:rsidRPr="00DE416B">
              <w:rPr>
                <w:sz w:val="20"/>
              </w:rPr>
              <w:t>102,4</w:t>
            </w:r>
          </w:p>
        </w:tc>
        <w:tc>
          <w:tcPr>
            <w:tcW w:w="1008" w:type="dxa"/>
            <w:vAlign w:val="center"/>
          </w:tcPr>
          <w:p w:rsidR="00DE416B" w:rsidRPr="00DE416B" w:rsidRDefault="00DE416B" w:rsidP="002D1004">
            <w:pPr>
              <w:ind w:firstLine="0"/>
              <w:jc w:val="center"/>
              <w:rPr>
                <w:sz w:val="20"/>
              </w:rPr>
            </w:pPr>
            <w:r w:rsidRPr="00DE416B">
              <w:rPr>
                <w:sz w:val="20"/>
              </w:rPr>
              <w:t>113,7</w:t>
            </w:r>
          </w:p>
        </w:tc>
        <w:tc>
          <w:tcPr>
            <w:tcW w:w="1008" w:type="dxa"/>
            <w:vAlign w:val="center"/>
          </w:tcPr>
          <w:p w:rsidR="00DE416B" w:rsidRPr="00DE416B" w:rsidRDefault="00DE416B" w:rsidP="002D1004">
            <w:pPr>
              <w:ind w:firstLine="0"/>
              <w:jc w:val="center"/>
              <w:rPr>
                <w:sz w:val="20"/>
              </w:rPr>
            </w:pPr>
            <w:r w:rsidRPr="00DE416B">
              <w:rPr>
                <w:sz w:val="20"/>
              </w:rPr>
              <w:t>120,49</w:t>
            </w:r>
          </w:p>
        </w:tc>
        <w:tc>
          <w:tcPr>
            <w:tcW w:w="1008" w:type="dxa"/>
            <w:vAlign w:val="center"/>
          </w:tcPr>
          <w:p w:rsidR="00DE416B" w:rsidRPr="00DE416B" w:rsidRDefault="00DD0734" w:rsidP="002D1004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110,6</w:t>
            </w:r>
          </w:p>
        </w:tc>
        <w:tc>
          <w:tcPr>
            <w:tcW w:w="1008" w:type="dxa"/>
            <w:vAlign w:val="center"/>
          </w:tcPr>
          <w:p w:rsidR="00DE416B" w:rsidRPr="00DE416B" w:rsidRDefault="00DD0734" w:rsidP="002D1004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107,15</w:t>
            </w:r>
          </w:p>
        </w:tc>
        <w:tc>
          <w:tcPr>
            <w:tcW w:w="1008" w:type="dxa"/>
            <w:vAlign w:val="center"/>
          </w:tcPr>
          <w:p w:rsidR="00DE416B" w:rsidRPr="00DE416B" w:rsidRDefault="00DD0734" w:rsidP="002D1004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107,12</w:t>
            </w:r>
          </w:p>
        </w:tc>
        <w:tc>
          <w:tcPr>
            <w:tcW w:w="1008" w:type="dxa"/>
            <w:vAlign w:val="center"/>
          </w:tcPr>
          <w:p w:rsidR="00DE416B" w:rsidRPr="00DE416B" w:rsidRDefault="00DD0734" w:rsidP="002D1004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107,25</w:t>
            </w:r>
          </w:p>
        </w:tc>
      </w:tr>
    </w:tbl>
    <w:p w:rsidR="00DB7A3B" w:rsidRPr="00F62A3E" w:rsidRDefault="00DB7A3B" w:rsidP="002D1004">
      <w:pPr>
        <w:pStyle w:val="1"/>
        <w:tabs>
          <w:tab w:val="left" w:pos="4920"/>
        </w:tabs>
        <w:rPr>
          <w:rFonts w:ascii="Times New Roman" w:hAnsi="Times New Roman" w:cs="Times New Roman"/>
          <w:color w:val="auto"/>
        </w:rPr>
      </w:pPr>
      <w:r w:rsidRPr="00F62A3E">
        <w:rPr>
          <w:rFonts w:ascii="Times New Roman" w:hAnsi="Times New Roman" w:cs="Times New Roman"/>
          <w:color w:val="auto"/>
        </w:rPr>
        <w:t>Денежные доходы населения</w:t>
      </w:r>
    </w:p>
    <w:p w:rsidR="00FA64B0" w:rsidRDefault="00E66E0F" w:rsidP="002D1004">
      <w:pPr>
        <w:spacing w:line="240" w:lineRule="auto"/>
        <w:ind w:firstLine="709"/>
        <w:rPr>
          <w:sz w:val="28"/>
          <w:szCs w:val="28"/>
        </w:rPr>
      </w:pPr>
      <w:r w:rsidRPr="00940246">
        <w:rPr>
          <w:sz w:val="28"/>
          <w:szCs w:val="28"/>
        </w:rPr>
        <w:t xml:space="preserve">Денежные доходы населения прогнозируются с ростом </w:t>
      </w:r>
      <w:r w:rsidR="00184924">
        <w:rPr>
          <w:sz w:val="28"/>
          <w:szCs w:val="28"/>
        </w:rPr>
        <w:t>106-108%</w:t>
      </w:r>
      <w:r w:rsidRPr="00940246">
        <w:rPr>
          <w:sz w:val="28"/>
          <w:szCs w:val="28"/>
        </w:rPr>
        <w:t xml:space="preserve">, </w:t>
      </w:r>
      <w:r w:rsidR="00940246" w:rsidRPr="00940246">
        <w:rPr>
          <w:sz w:val="28"/>
          <w:szCs w:val="28"/>
        </w:rPr>
        <w:t xml:space="preserve">за счет </w:t>
      </w:r>
      <w:r w:rsidRPr="00940246">
        <w:rPr>
          <w:sz w:val="28"/>
          <w:szCs w:val="28"/>
        </w:rPr>
        <w:t xml:space="preserve"> увеличени</w:t>
      </w:r>
      <w:r w:rsidR="00940246" w:rsidRPr="00940246">
        <w:rPr>
          <w:sz w:val="28"/>
          <w:szCs w:val="28"/>
        </w:rPr>
        <w:t>я</w:t>
      </w:r>
      <w:r w:rsidRPr="00940246">
        <w:rPr>
          <w:sz w:val="28"/>
          <w:szCs w:val="28"/>
        </w:rPr>
        <w:t xml:space="preserve"> социальных выплат гражданам</w:t>
      </w:r>
      <w:r w:rsidR="008B3B82">
        <w:rPr>
          <w:sz w:val="28"/>
          <w:szCs w:val="28"/>
        </w:rPr>
        <w:t>, адресной поддержки</w:t>
      </w:r>
      <w:r w:rsidRPr="00940246">
        <w:rPr>
          <w:sz w:val="28"/>
          <w:szCs w:val="28"/>
        </w:rPr>
        <w:t xml:space="preserve"> и роста заработной плат</w:t>
      </w:r>
      <w:r w:rsidR="00940246">
        <w:rPr>
          <w:sz w:val="28"/>
          <w:szCs w:val="28"/>
        </w:rPr>
        <w:t>ы.</w:t>
      </w:r>
      <w:r w:rsidR="00F62A3E">
        <w:rPr>
          <w:sz w:val="28"/>
          <w:szCs w:val="28"/>
        </w:rPr>
        <w:t xml:space="preserve"> Рост реальных денежных доходов в 202</w:t>
      </w:r>
      <w:r w:rsidR="00184924">
        <w:rPr>
          <w:sz w:val="28"/>
          <w:szCs w:val="28"/>
        </w:rPr>
        <w:t>3 -2026 годах</w:t>
      </w:r>
      <w:r w:rsidR="00F62A3E">
        <w:rPr>
          <w:sz w:val="28"/>
          <w:szCs w:val="28"/>
        </w:rPr>
        <w:t xml:space="preserve"> прогнозируется</w:t>
      </w:r>
      <w:r w:rsidR="00184924">
        <w:rPr>
          <w:sz w:val="28"/>
          <w:szCs w:val="28"/>
        </w:rPr>
        <w:t xml:space="preserve"> на уровне среднероссийских показателей 102-103%</w:t>
      </w:r>
      <w:r w:rsidR="00F62A3E">
        <w:rPr>
          <w:sz w:val="28"/>
          <w:szCs w:val="28"/>
        </w:rPr>
        <w:t xml:space="preserve">. </w:t>
      </w:r>
    </w:p>
    <w:p w:rsidR="00FA64B0" w:rsidRPr="00F62A3E" w:rsidRDefault="00FA64B0" w:rsidP="002D1004">
      <w:pPr>
        <w:pStyle w:val="1"/>
        <w:rPr>
          <w:rFonts w:ascii="Times New Roman" w:hAnsi="Times New Roman" w:cs="Times New Roman"/>
          <w:color w:val="auto"/>
        </w:rPr>
      </w:pPr>
      <w:r w:rsidRPr="00F62A3E">
        <w:rPr>
          <w:rFonts w:ascii="Times New Roman" w:hAnsi="Times New Roman" w:cs="Times New Roman"/>
          <w:color w:val="auto"/>
        </w:rPr>
        <w:t>Поступления налоговых и неналоговых платежей</w:t>
      </w:r>
    </w:p>
    <w:p w:rsidR="00E66E0F" w:rsidRPr="00940246" w:rsidRDefault="00FA64B0" w:rsidP="002D1004">
      <w:pPr>
        <w:spacing w:line="240" w:lineRule="auto"/>
        <w:ind w:firstLine="709"/>
        <w:rPr>
          <w:sz w:val="28"/>
          <w:szCs w:val="28"/>
        </w:rPr>
      </w:pPr>
      <w:r w:rsidRPr="006457E1">
        <w:rPr>
          <w:sz w:val="28"/>
          <w:szCs w:val="28"/>
        </w:rPr>
        <w:t xml:space="preserve">Поступления налоговых и неналоговых платежей в </w:t>
      </w:r>
      <w:r w:rsidR="008B3B82" w:rsidRPr="006457E1">
        <w:rPr>
          <w:sz w:val="28"/>
          <w:szCs w:val="28"/>
        </w:rPr>
        <w:t xml:space="preserve">местный бюджет </w:t>
      </w:r>
      <w:r w:rsidR="00940246" w:rsidRPr="006457E1">
        <w:rPr>
          <w:sz w:val="28"/>
          <w:szCs w:val="28"/>
        </w:rPr>
        <w:t xml:space="preserve">в </w:t>
      </w:r>
      <w:r w:rsidR="00AA37DC" w:rsidRPr="006457E1">
        <w:rPr>
          <w:sz w:val="28"/>
          <w:szCs w:val="28"/>
        </w:rPr>
        <w:t>202</w:t>
      </w:r>
      <w:r w:rsidR="00F401B6">
        <w:rPr>
          <w:sz w:val="28"/>
          <w:szCs w:val="28"/>
        </w:rPr>
        <w:t>3</w:t>
      </w:r>
      <w:r w:rsidR="008B3B82" w:rsidRPr="006457E1">
        <w:rPr>
          <w:sz w:val="28"/>
          <w:szCs w:val="28"/>
        </w:rPr>
        <w:t xml:space="preserve"> году</w:t>
      </w:r>
      <w:r w:rsidR="006457E1" w:rsidRPr="006457E1">
        <w:rPr>
          <w:sz w:val="28"/>
          <w:szCs w:val="28"/>
        </w:rPr>
        <w:t xml:space="preserve"> и плановый период</w:t>
      </w:r>
      <w:r w:rsidRPr="006457E1">
        <w:rPr>
          <w:sz w:val="28"/>
          <w:szCs w:val="28"/>
        </w:rPr>
        <w:t xml:space="preserve"> </w:t>
      </w:r>
      <w:r w:rsidR="00FE2B3B">
        <w:rPr>
          <w:sz w:val="28"/>
          <w:szCs w:val="28"/>
        </w:rPr>
        <w:t>прогнозируется</w:t>
      </w:r>
      <w:r w:rsidR="006457E1" w:rsidRPr="006457E1">
        <w:rPr>
          <w:sz w:val="28"/>
          <w:szCs w:val="28"/>
        </w:rPr>
        <w:t xml:space="preserve"> с ростом </w:t>
      </w:r>
      <w:r w:rsidR="00940246" w:rsidRPr="006457E1">
        <w:rPr>
          <w:sz w:val="28"/>
          <w:szCs w:val="28"/>
        </w:rPr>
        <w:t xml:space="preserve">в пределах </w:t>
      </w:r>
      <w:r w:rsidR="006457E1" w:rsidRPr="006457E1">
        <w:rPr>
          <w:sz w:val="28"/>
          <w:szCs w:val="28"/>
        </w:rPr>
        <w:t>1-</w:t>
      </w:r>
      <w:r w:rsidR="00F401B6">
        <w:rPr>
          <w:sz w:val="28"/>
          <w:szCs w:val="28"/>
        </w:rPr>
        <w:t>5</w:t>
      </w:r>
      <w:r w:rsidR="00940246" w:rsidRPr="006457E1">
        <w:rPr>
          <w:sz w:val="28"/>
          <w:szCs w:val="28"/>
        </w:rPr>
        <w:t>%,</w:t>
      </w:r>
      <w:r w:rsidR="006457E1" w:rsidRPr="006457E1">
        <w:rPr>
          <w:sz w:val="28"/>
          <w:szCs w:val="28"/>
        </w:rPr>
        <w:t xml:space="preserve"> и зависит от процента отчисления в местный бюджет</w:t>
      </w:r>
      <w:r w:rsidR="00AB2B33">
        <w:rPr>
          <w:sz w:val="28"/>
          <w:szCs w:val="28"/>
        </w:rPr>
        <w:t xml:space="preserve"> НДФЛ</w:t>
      </w:r>
      <w:r w:rsidR="006457E1" w:rsidRPr="006457E1">
        <w:rPr>
          <w:sz w:val="28"/>
          <w:szCs w:val="28"/>
        </w:rPr>
        <w:t>, установленный Министерством финансов РТ</w:t>
      </w:r>
      <w:r w:rsidR="00940246" w:rsidRPr="006457E1">
        <w:rPr>
          <w:sz w:val="28"/>
          <w:szCs w:val="28"/>
        </w:rPr>
        <w:t>.</w:t>
      </w:r>
    </w:p>
    <w:p w:rsidR="00E66E0F" w:rsidRPr="00F62A3E" w:rsidRDefault="00E66E0F" w:rsidP="002D1004">
      <w:pPr>
        <w:pStyle w:val="1"/>
        <w:rPr>
          <w:rFonts w:ascii="Times New Roman" w:hAnsi="Times New Roman" w:cs="Times New Roman"/>
          <w:color w:val="auto"/>
        </w:rPr>
      </w:pPr>
      <w:r w:rsidRPr="00F62A3E">
        <w:rPr>
          <w:rFonts w:ascii="Times New Roman" w:hAnsi="Times New Roman" w:cs="Times New Roman"/>
          <w:color w:val="auto"/>
        </w:rPr>
        <w:t>Ситуация на рынке труда</w:t>
      </w:r>
    </w:p>
    <w:p w:rsidR="0085021A" w:rsidRPr="00A3568F" w:rsidRDefault="0085021A" w:rsidP="002D1004">
      <w:pPr>
        <w:spacing w:line="240" w:lineRule="auto"/>
        <w:ind w:firstLine="709"/>
        <w:rPr>
          <w:sz w:val="28"/>
          <w:szCs w:val="28"/>
        </w:rPr>
      </w:pPr>
      <w:r w:rsidRPr="0085021A">
        <w:rPr>
          <w:sz w:val="28"/>
          <w:szCs w:val="28"/>
        </w:rPr>
        <w:t>Ситуация на рынке труда</w:t>
      </w:r>
      <w:r>
        <w:rPr>
          <w:sz w:val="28"/>
          <w:szCs w:val="28"/>
        </w:rPr>
        <w:t xml:space="preserve"> </w:t>
      </w:r>
      <w:r w:rsidR="00F401B6">
        <w:rPr>
          <w:sz w:val="28"/>
          <w:szCs w:val="28"/>
        </w:rPr>
        <w:t>стабильная. По состоянию на 01.06.2023 г. на учете</w:t>
      </w:r>
      <w:r>
        <w:rPr>
          <w:sz w:val="28"/>
          <w:szCs w:val="28"/>
        </w:rPr>
        <w:t xml:space="preserve"> в Центре занятости</w:t>
      </w:r>
      <w:r w:rsidR="00F401B6">
        <w:rPr>
          <w:sz w:val="28"/>
          <w:szCs w:val="28"/>
        </w:rPr>
        <w:t xml:space="preserve"> города Азнакаево стоит 67 человек Уровень</w:t>
      </w:r>
      <w:r w:rsidR="00F401B6" w:rsidRPr="00F401B6">
        <w:rPr>
          <w:rFonts w:eastAsia="Calibri"/>
          <w:sz w:val="26"/>
          <w:szCs w:val="26"/>
          <w:lang w:eastAsia="en-US"/>
        </w:rPr>
        <w:t xml:space="preserve"> регистрируемой безработицы</w:t>
      </w:r>
      <w:r w:rsidR="00F401B6">
        <w:rPr>
          <w:rFonts w:eastAsia="Calibri"/>
          <w:sz w:val="26"/>
          <w:szCs w:val="26"/>
          <w:lang w:eastAsia="en-US"/>
        </w:rPr>
        <w:t xml:space="preserve"> – 02,%</w:t>
      </w:r>
      <w:r>
        <w:rPr>
          <w:sz w:val="28"/>
          <w:szCs w:val="28"/>
        </w:rPr>
        <w:t>.</w:t>
      </w:r>
      <w:r w:rsidR="00666193">
        <w:rPr>
          <w:sz w:val="28"/>
          <w:szCs w:val="28"/>
        </w:rPr>
        <w:t xml:space="preserve"> </w:t>
      </w:r>
      <w:r w:rsidR="00F401B6">
        <w:rPr>
          <w:sz w:val="28"/>
          <w:szCs w:val="28"/>
        </w:rPr>
        <w:t>К концу 2023 года и в последующий плановый период тенденции увеличения численности безработных не прогнозируется. Постоянно более 400 вакансий предлагается работодателями для трудоустройства. Программы Министерства труда и социальной защиты Республики Татарстан и установленные показатели по обучению, переобучению безработных граждан выполняются в полном объеме.</w:t>
      </w:r>
    </w:p>
    <w:sectPr w:rsidR="0085021A" w:rsidRPr="00A3568F" w:rsidSect="002D1004"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D83425"/>
    <w:multiLevelType w:val="hybridMultilevel"/>
    <w:tmpl w:val="810C15B4"/>
    <w:lvl w:ilvl="0" w:tplc="FBD60486">
      <w:start w:val="2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">
    <w:nsid w:val="732D48DE"/>
    <w:multiLevelType w:val="hybridMultilevel"/>
    <w:tmpl w:val="72965986"/>
    <w:lvl w:ilvl="0" w:tplc="8558FF18">
      <w:start w:val="2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proofState w:spelling="clean" w:grammar="clean"/>
  <w:stylePaneFormatFilter w:val="3F01"/>
  <w:defaultTabStop w:val="708"/>
  <w:characterSpacingControl w:val="doNotCompress"/>
  <w:compat/>
  <w:rsids>
    <w:rsidRoot w:val="00E42BBE"/>
    <w:rsid w:val="00043605"/>
    <w:rsid w:val="000458FF"/>
    <w:rsid w:val="000514C0"/>
    <w:rsid w:val="000517AA"/>
    <w:rsid w:val="000559D4"/>
    <w:rsid w:val="00067BD9"/>
    <w:rsid w:val="00067D4C"/>
    <w:rsid w:val="00071830"/>
    <w:rsid w:val="000749D1"/>
    <w:rsid w:val="000755F8"/>
    <w:rsid w:val="0007743E"/>
    <w:rsid w:val="00087A47"/>
    <w:rsid w:val="00090836"/>
    <w:rsid w:val="000A4B56"/>
    <w:rsid w:val="000A57BC"/>
    <w:rsid w:val="000B043A"/>
    <w:rsid w:val="000B51CC"/>
    <w:rsid w:val="000C1F03"/>
    <w:rsid w:val="000C3597"/>
    <w:rsid w:val="000E007E"/>
    <w:rsid w:val="000E5096"/>
    <w:rsid w:val="000E648F"/>
    <w:rsid w:val="00101AF8"/>
    <w:rsid w:val="00104107"/>
    <w:rsid w:val="00107EA4"/>
    <w:rsid w:val="001224D4"/>
    <w:rsid w:val="00122A3B"/>
    <w:rsid w:val="001434B4"/>
    <w:rsid w:val="00144004"/>
    <w:rsid w:val="001476D3"/>
    <w:rsid w:val="00150DB1"/>
    <w:rsid w:val="00151A18"/>
    <w:rsid w:val="0015209A"/>
    <w:rsid w:val="00156BFE"/>
    <w:rsid w:val="001628F7"/>
    <w:rsid w:val="00163E6B"/>
    <w:rsid w:val="00175925"/>
    <w:rsid w:val="00184924"/>
    <w:rsid w:val="0019112D"/>
    <w:rsid w:val="00196C3E"/>
    <w:rsid w:val="001A25FA"/>
    <w:rsid w:val="001B5730"/>
    <w:rsid w:val="001C0FBC"/>
    <w:rsid w:val="001C2BB0"/>
    <w:rsid w:val="001C48A1"/>
    <w:rsid w:val="001D515E"/>
    <w:rsid w:val="00201F8A"/>
    <w:rsid w:val="0020634F"/>
    <w:rsid w:val="00207A0F"/>
    <w:rsid w:val="002125BE"/>
    <w:rsid w:val="002179EC"/>
    <w:rsid w:val="00221F4D"/>
    <w:rsid w:val="00245358"/>
    <w:rsid w:val="002558A7"/>
    <w:rsid w:val="0026165E"/>
    <w:rsid w:val="00264CDE"/>
    <w:rsid w:val="002876B8"/>
    <w:rsid w:val="002951FE"/>
    <w:rsid w:val="002C055F"/>
    <w:rsid w:val="002C0D4F"/>
    <w:rsid w:val="002C6BAF"/>
    <w:rsid w:val="002D1004"/>
    <w:rsid w:val="002E7E67"/>
    <w:rsid w:val="002F6B69"/>
    <w:rsid w:val="00301987"/>
    <w:rsid w:val="0031043F"/>
    <w:rsid w:val="003166E9"/>
    <w:rsid w:val="00316E9C"/>
    <w:rsid w:val="00331A44"/>
    <w:rsid w:val="0034049B"/>
    <w:rsid w:val="00340615"/>
    <w:rsid w:val="003423EB"/>
    <w:rsid w:val="00353DC1"/>
    <w:rsid w:val="0037536F"/>
    <w:rsid w:val="003A1766"/>
    <w:rsid w:val="003A5583"/>
    <w:rsid w:val="003A56D2"/>
    <w:rsid w:val="003A7E40"/>
    <w:rsid w:val="003B0F63"/>
    <w:rsid w:val="003D4C2B"/>
    <w:rsid w:val="003D7B23"/>
    <w:rsid w:val="003D7EB4"/>
    <w:rsid w:val="003E17F9"/>
    <w:rsid w:val="003E4170"/>
    <w:rsid w:val="003F4E12"/>
    <w:rsid w:val="003F710A"/>
    <w:rsid w:val="004074BD"/>
    <w:rsid w:val="00407A71"/>
    <w:rsid w:val="0041130E"/>
    <w:rsid w:val="00424463"/>
    <w:rsid w:val="004266E5"/>
    <w:rsid w:val="00430C63"/>
    <w:rsid w:val="00432867"/>
    <w:rsid w:val="00446FC2"/>
    <w:rsid w:val="004520BB"/>
    <w:rsid w:val="00453DAF"/>
    <w:rsid w:val="0045773F"/>
    <w:rsid w:val="00460CD6"/>
    <w:rsid w:val="00463862"/>
    <w:rsid w:val="00465824"/>
    <w:rsid w:val="004701FF"/>
    <w:rsid w:val="00470455"/>
    <w:rsid w:val="00470E80"/>
    <w:rsid w:val="00471055"/>
    <w:rsid w:val="004746A2"/>
    <w:rsid w:val="004748A6"/>
    <w:rsid w:val="00476512"/>
    <w:rsid w:val="004801A0"/>
    <w:rsid w:val="004808B7"/>
    <w:rsid w:val="00484DAF"/>
    <w:rsid w:val="004A098A"/>
    <w:rsid w:val="004A0AA7"/>
    <w:rsid w:val="004A2293"/>
    <w:rsid w:val="004A36AF"/>
    <w:rsid w:val="004B0A53"/>
    <w:rsid w:val="004B56AE"/>
    <w:rsid w:val="004B60C3"/>
    <w:rsid w:val="004C03D4"/>
    <w:rsid w:val="004C1035"/>
    <w:rsid w:val="004D0592"/>
    <w:rsid w:val="004D1BF7"/>
    <w:rsid w:val="004D3A50"/>
    <w:rsid w:val="004E0FBE"/>
    <w:rsid w:val="004E5C75"/>
    <w:rsid w:val="004F5D61"/>
    <w:rsid w:val="004F67C8"/>
    <w:rsid w:val="0050201A"/>
    <w:rsid w:val="0050658B"/>
    <w:rsid w:val="0053614C"/>
    <w:rsid w:val="00545D7C"/>
    <w:rsid w:val="005473F9"/>
    <w:rsid w:val="00557BD5"/>
    <w:rsid w:val="00580084"/>
    <w:rsid w:val="00583E57"/>
    <w:rsid w:val="005B00F0"/>
    <w:rsid w:val="005B13D6"/>
    <w:rsid w:val="005B2385"/>
    <w:rsid w:val="005B43CF"/>
    <w:rsid w:val="005D15B7"/>
    <w:rsid w:val="005D1C69"/>
    <w:rsid w:val="005D79BB"/>
    <w:rsid w:val="005E11E8"/>
    <w:rsid w:val="005E3C9C"/>
    <w:rsid w:val="005E55A9"/>
    <w:rsid w:val="005E7457"/>
    <w:rsid w:val="005F0701"/>
    <w:rsid w:val="005F5159"/>
    <w:rsid w:val="0060111A"/>
    <w:rsid w:val="00611707"/>
    <w:rsid w:val="0062155B"/>
    <w:rsid w:val="00633E7E"/>
    <w:rsid w:val="006377D3"/>
    <w:rsid w:val="0064386A"/>
    <w:rsid w:val="00643AE0"/>
    <w:rsid w:val="00643D3B"/>
    <w:rsid w:val="006457E1"/>
    <w:rsid w:val="00650453"/>
    <w:rsid w:val="00656F1A"/>
    <w:rsid w:val="0065705B"/>
    <w:rsid w:val="00666193"/>
    <w:rsid w:val="00667B50"/>
    <w:rsid w:val="00671D84"/>
    <w:rsid w:val="006731B9"/>
    <w:rsid w:val="00676AFA"/>
    <w:rsid w:val="00684C19"/>
    <w:rsid w:val="00685726"/>
    <w:rsid w:val="006968C9"/>
    <w:rsid w:val="006971A9"/>
    <w:rsid w:val="006976D6"/>
    <w:rsid w:val="006A2916"/>
    <w:rsid w:val="006B47DD"/>
    <w:rsid w:val="006D7E60"/>
    <w:rsid w:val="006E19CE"/>
    <w:rsid w:val="006E1D49"/>
    <w:rsid w:val="006F515F"/>
    <w:rsid w:val="007004F4"/>
    <w:rsid w:val="00703620"/>
    <w:rsid w:val="00704885"/>
    <w:rsid w:val="00710445"/>
    <w:rsid w:val="00714DE9"/>
    <w:rsid w:val="00715ED9"/>
    <w:rsid w:val="007240E3"/>
    <w:rsid w:val="00731D80"/>
    <w:rsid w:val="0074186F"/>
    <w:rsid w:val="00741DED"/>
    <w:rsid w:val="00744FCC"/>
    <w:rsid w:val="007464A9"/>
    <w:rsid w:val="00746955"/>
    <w:rsid w:val="00757BB9"/>
    <w:rsid w:val="00763EFE"/>
    <w:rsid w:val="00776E7B"/>
    <w:rsid w:val="00781672"/>
    <w:rsid w:val="007857F0"/>
    <w:rsid w:val="00786CFA"/>
    <w:rsid w:val="007877A3"/>
    <w:rsid w:val="00791405"/>
    <w:rsid w:val="0079695B"/>
    <w:rsid w:val="007A5DEC"/>
    <w:rsid w:val="007C1609"/>
    <w:rsid w:val="007C281F"/>
    <w:rsid w:val="007C40C5"/>
    <w:rsid w:val="007C53F5"/>
    <w:rsid w:val="007C7EFC"/>
    <w:rsid w:val="007D2774"/>
    <w:rsid w:val="007D376D"/>
    <w:rsid w:val="007D3CC3"/>
    <w:rsid w:val="007E252C"/>
    <w:rsid w:val="007E46E5"/>
    <w:rsid w:val="007F3797"/>
    <w:rsid w:val="007F7330"/>
    <w:rsid w:val="00801889"/>
    <w:rsid w:val="00804A92"/>
    <w:rsid w:val="0082183D"/>
    <w:rsid w:val="00821AE2"/>
    <w:rsid w:val="008233E9"/>
    <w:rsid w:val="00827B8D"/>
    <w:rsid w:val="00846FFB"/>
    <w:rsid w:val="0085021A"/>
    <w:rsid w:val="00865436"/>
    <w:rsid w:val="00870B96"/>
    <w:rsid w:val="00871A05"/>
    <w:rsid w:val="00872AA3"/>
    <w:rsid w:val="008757F0"/>
    <w:rsid w:val="0087708D"/>
    <w:rsid w:val="00886B51"/>
    <w:rsid w:val="00887C6E"/>
    <w:rsid w:val="00891916"/>
    <w:rsid w:val="00892631"/>
    <w:rsid w:val="008B3B82"/>
    <w:rsid w:val="008C1872"/>
    <w:rsid w:val="008D05C4"/>
    <w:rsid w:val="008D2955"/>
    <w:rsid w:val="008D59C2"/>
    <w:rsid w:val="008D5CB9"/>
    <w:rsid w:val="008E3D92"/>
    <w:rsid w:val="008E775D"/>
    <w:rsid w:val="008F78C7"/>
    <w:rsid w:val="008F7A46"/>
    <w:rsid w:val="00902E0E"/>
    <w:rsid w:val="00903F6B"/>
    <w:rsid w:val="00906839"/>
    <w:rsid w:val="00921A59"/>
    <w:rsid w:val="00935B2F"/>
    <w:rsid w:val="0093791B"/>
    <w:rsid w:val="00940246"/>
    <w:rsid w:val="0094698A"/>
    <w:rsid w:val="00962F7C"/>
    <w:rsid w:val="00965D01"/>
    <w:rsid w:val="009A1F23"/>
    <w:rsid w:val="009A4D95"/>
    <w:rsid w:val="009A5DB7"/>
    <w:rsid w:val="009C7CD7"/>
    <w:rsid w:val="009D08EF"/>
    <w:rsid w:val="009E3176"/>
    <w:rsid w:val="009E67A5"/>
    <w:rsid w:val="009F047B"/>
    <w:rsid w:val="009F1143"/>
    <w:rsid w:val="009F4B14"/>
    <w:rsid w:val="009F6564"/>
    <w:rsid w:val="00A02B3A"/>
    <w:rsid w:val="00A0646F"/>
    <w:rsid w:val="00A11B54"/>
    <w:rsid w:val="00A130EF"/>
    <w:rsid w:val="00A16F8F"/>
    <w:rsid w:val="00A223FB"/>
    <w:rsid w:val="00A22CE4"/>
    <w:rsid w:val="00A32B95"/>
    <w:rsid w:val="00A34653"/>
    <w:rsid w:val="00A350F0"/>
    <w:rsid w:val="00A3568F"/>
    <w:rsid w:val="00A4392D"/>
    <w:rsid w:val="00A457EE"/>
    <w:rsid w:val="00A462D3"/>
    <w:rsid w:val="00A53FDF"/>
    <w:rsid w:val="00A67869"/>
    <w:rsid w:val="00A75392"/>
    <w:rsid w:val="00A841B9"/>
    <w:rsid w:val="00A913EE"/>
    <w:rsid w:val="00AA37DC"/>
    <w:rsid w:val="00AB2B33"/>
    <w:rsid w:val="00AB4402"/>
    <w:rsid w:val="00AC5C11"/>
    <w:rsid w:val="00AC6066"/>
    <w:rsid w:val="00AC663C"/>
    <w:rsid w:val="00AF482E"/>
    <w:rsid w:val="00AF5AB2"/>
    <w:rsid w:val="00AF664F"/>
    <w:rsid w:val="00B01B01"/>
    <w:rsid w:val="00B109FB"/>
    <w:rsid w:val="00B1477F"/>
    <w:rsid w:val="00B4145A"/>
    <w:rsid w:val="00B628AF"/>
    <w:rsid w:val="00B62EF4"/>
    <w:rsid w:val="00B636C1"/>
    <w:rsid w:val="00B676B9"/>
    <w:rsid w:val="00B72656"/>
    <w:rsid w:val="00B73FBF"/>
    <w:rsid w:val="00B76253"/>
    <w:rsid w:val="00B82CC9"/>
    <w:rsid w:val="00B9770B"/>
    <w:rsid w:val="00BA3B13"/>
    <w:rsid w:val="00BB32DE"/>
    <w:rsid w:val="00BC2E54"/>
    <w:rsid w:val="00BD3599"/>
    <w:rsid w:val="00BD5093"/>
    <w:rsid w:val="00BD577C"/>
    <w:rsid w:val="00BD69AF"/>
    <w:rsid w:val="00BD6BDD"/>
    <w:rsid w:val="00BE471E"/>
    <w:rsid w:val="00C04021"/>
    <w:rsid w:val="00C21097"/>
    <w:rsid w:val="00C218EE"/>
    <w:rsid w:val="00C311BA"/>
    <w:rsid w:val="00C436E8"/>
    <w:rsid w:val="00C43702"/>
    <w:rsid w:val="00C4568B"/>
    <w:rsid w:val="00C515AA"/>
    <w:rsid w:val="00C53E8A"/>
    <w:rsid w:val="00C61AFE"/>
    <w:rsid w:val="00C62F25"/>
    <w:rsid w:val="00C643C3"/>
    <w:rsid w:val="00C656A1"/>
    <w:rsid w:val="00C76BEB"/>
    <w:rsid w:val="00C77541"/>
    <w:rsid w:val="00C91EC6"/>
    <w:rsid w:val="00C922A8"/>
    <w:rsid w:val="00C92F8C"/>
    <w:rsid w:val="00CA7D32"/>
    <w:rsid w:val="00CB3454"/>
    <w:rsid w:val="00CB43E1"/>
    <w:rsid w:val="00CC2A59"/>
    <w:rsid w:val="00CD54B5"/>
    <w:rsid w:val="00CD613B"/>
    <w:rsid w:val="00CF1E21"/>
    <w:rsid w:val="00D110E0"/>
    <w:rsid w:val="00D14E84"/>
    <w:rsid w:val="00D260CA"/>
    <w:rsid w:val="00D27313"/>
    <w:rsid w:val="00D32F3E"/>
    <w:rsid w:val="00D34594"/>
    <w:rsid w:val="00D358D3"/>
    <w:rsid w:val="00D45E07"/>
    <w:rsid w:val="00D5172E"/>
    <w:rsid w:val="00D62637"/>
    <w:rsid w:val="00D6290D"/>
    <w:rsid w:val="00D62DEC"/>
    <w:rsid w:val="00D73CAF"/>
    <w:rsid w:val="00D86E2C"/>
    <w:rsid w:val="00D92F56"/>
    <w:rsid w:val="00DA7EED"/>
    <w:rsid w:val="00DB11A5"/>
    <w:rsid w:val="00DB7643"/>
    <w:rsid w:val="00DB7A3B"/>
    <w:rsid w:val="00DC0F9F"/>
    <w:rsid w:val="00DD0734"/>
    <w:rsid w:val="00DD3491"/>
    <w:rsid w:val="00DD477D"/>
    <w:rsid w:val="00DE0FB3"/>
    <w:rsid w:val="00DE416B"/>
    <w:rsid w:val="00DE5FA9"/>
    <w:rsid w:val="00DF10C1"/>
    <w:rsid w:val="00E168E6"/>
    <w:rsid w:val="00E23FC4"/>
    <w:rsid w:val="00E26FF0"/>
    <w:rsid w:val="00E32DB9"/>
    <w:rsid w:val="00E34D53"/>
    <w:rsid w:val="00E40669"/>
    <w:rsid w:val="00E42BBE"/>
    <w:rsid w:val="00E436D9"/>
    <w:rsid w:val="00E46C63"/>
    <w:rsid w:val="00E5452A"/>
    <w:rsid w:val="00E54D5D"/>
    <w:rsid w:val="00E577C9"/>
    <w:rsid w:val="00E64930"/>
    <w:rsid w:val="00E64D83"/>
    <w:rsid w:val="00E66E0F"/>
    <w:rsid w:val="00E71A7F"/>
    <w:rsid w:val="00E72880"/>
    <w:rsid w:val="00E749B3"/>
    <w:rsid w:val="00E76192"/>
    <w:rsid w:val="00E7782E"/>
    <w:rsid w:val="00E806E0"/>
    <w:rsid w:val="00E80CE5"/>
    <w:rsid w:val="00E90D1D"/>
    <w:rsid w:val="00E91216"/>
    <w:rsid w:val="00E9203E"/>
    <w:rsid w:val="00E955FE"/>
    <w:rsid w:val="00E96DD9"/>
    <w:rsid w:val="00E97B1A"/>
    <w:rsid w:val="00EB6587"/>
    <w:rsid w:val="00EC309E"/>
    <w:rsid w:val="00ED447C"/>
    <w:rsid w:val="00ED465A"/>
    <w:rsid w:val="00EE5808"/>
    <w:rsid w:val="00EF28ED"/>
    <w:rsid w:val="00EF5FE9"/>
    <w:rsid w:val="00F0302F"/>
    <w:rsid w:val="00F11761"/>
    <w:rsid w:val="00F11B77"/>
    <w:rsid w:val="00F26B45"/>
    <w:rsid w:val="00F337A6"/>
    <w:rsid w:val="00F401B6"/>
    <w:rsid w:val="00F40A8B"/>
    <w:rsid w:val="00F56D1E"/>
    <w:rsid w:val="00F60FAF"/>
    <w:rsid w:val="00F62A3E"/>
    <w:rsid w:val="00F82343"/>
    <w:rsid w:val="00F84AA7"/>
    <w:rsid w:val="00F8697D"/>
    <w:rsid w:val="00FA175D"/>
    <w:rsid w:val="00FA639E"/>
    <w:rsid w:val="00FA64B0"/>
    <w:rsid w:val="00FB0081"/>
    <w:rsid w:val="00FB0CF6"/>
    <w:rsid w:val="00FB2623"/>
    <w:rsid w:val="00FB3155"/>
    <w:rsid w:val="00FB3CBC"/>
    <w:rsid w:val="00FB6BB4"/>
    <w:rsid w:val="00FC3153"/>
    <w:rsid w:val="00FC3C81"/>
    <w:rsid w:val="00FD52B8"/>
    <w:rsid w:val="00FE09EC"/>
    <w:rsid w:val="00FE0CD0"/>
    <w:rsid w:val="00FE2B3B"/>
    <w:rsid w:val="00FE464B"/>
    <w:rsid w:val="00FF36C7"/>
    <w:rsid w:val="00FF7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2BBE"/>
    <w:pPr>
      <w:spacing w:line="360" w:lineRule="auto"/>
      <w:ind w:firstLine="567"/>
      <w:jc w:val="both"/>
    </w:pPr>
    <w:rPr>
      <w:sz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62A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qFormat/>
    <w:rsid w:val="00E42BBE"/>
    <w:pPr>
      <w:keepNext/>
      <w:pageBreakBefore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E42BBE"/>
  </w:style>
  <w:style w:type="paragraph" w:styleId="a4">
    <w:name w:val="Title"/>
    <w:basedOn w:val="a"/>
    <w:qFormat/>
    <w:rsid w:val="00E42BBE"/>
    <w:pPr>
      <w:jc w:val="center"/>
    </w:pPr>
    <w:rPr>
      <w:b/>
    </w:rPr>
  </w:style>
  <w:style w:type="paragraph" w:styleId="a5">
    <w:name w:val="Body Text"/>
    <w:basedOn w:val="a"/>
    <w:rsid w:val="00E42BBE"/>
    <w:pPr>
      <w:spacing w:after="120"/>
    </w:pPr>
  </w:style>
  <w:style w:type="paragraph" w:styleId="2">
    <w:name w:val="Body Text Indent 2"/>
    <w:basedOn w:val="a"/>
    <w:rsid w:val="00E42BBE"/>
    <w:pPr>
      <w:spacing w:after="120" w:line="480" w:lineRule="auto"/>
      <w:ind w:left="283"/>
    </w:pPr>
  </w:style>
  <w:style w:type="paragraph" w:customStyle="1" w:styleId="a6">
    <w:name w:val="Знак Знак Знак"/>
    <w:basedOn w:val="a"/>
    <w:rsid w:val="00DD3491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table" w:styleId="a7">
    <w:name w:val="Table Grid"/>
    <w:basedOn w:val="a1"/>
    <w:rsid w:val="00CC2A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Document Map"/>
    <w:basedOn w:val="a"/>
    <w:link w:val="a9"/>
    <w:rsid w:val="005B43C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rsid w:val="005B43CF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F62A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2BBE"/>
    <w:pPr>
      <w:spacing w:line="360" w:lineRule="auto"/>
      <w:ind w:firstLine="567"/>
      <w:jc w:val="both"/>
    </w:pPr>
    <w:rPr>
      <w:sz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62A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qFormat/>
    <w:rsid w:val="00E42BBE"/>
    <w:pPr>
      <w:keepNext/>
      <w:pageBreakBefore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E42BBE"/>
  </w:style>
  <w:style w:type="paragraph" w:styleId="a4">
    <w:name w:val="Title"/>
    <w:basedOn w:val="a"/>
    <w:qFormat/>
    <w:rsid w:val="00E42BBE"/>
    <w:pPr>
      <w:jc w:val="center"/>
    </w:pPr>
    <w:rPr>
      <w:b/>
    </w:rPr>
  </w:style>
  <w:style w:type="paragraph" w:styleId="a5">
    <w:name w:val="Body Text"/>
    <w:basedOn w:val="a"/>
    <w:rsid w:val="00E42BBE"/>
    <w:pPr>
      <w:spacing w:after="120"/>
    </w:pPr>
  </w:style>
  <w:style w:type="paragraph" w:styleId="2">
    <w:name w:val="Body Text Indent 2"/>
    <w:basedOn w:val="a"/>
    <w:rsid w:val="00E42BBE"/>
    <w:pPr>
      <w:spacing w:after="120" w:line="480" w:lineRule="auto"/>
      <w:ind w:left="283"/>
    </w:pPr>
  </w:style>
  <w:style w:type="paragraph" w:customStyle="1" w:styleId="a6">
    <w:name w:val="Знак Знак Знак"/>
    <w:basedOn w:val="a"/>
    <w:rsid w:val="00DD3491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table" w:styleId="a7">
    <w:name w:val="Table Grid"/>
    <w:basedOn w:val="a1"/>
    <w:rsid w:val="00CC2A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Document Map"/>
    <w:basedOn w:val="a"/>
    <w:link w:val="a9"/>
    <w:rsid w:val="005B43C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rsid w:val="005B43CF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F62A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4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1822</Words>
  <Characters>12219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ISP</Company>
  <LinksUpToDate>false</LinksUpToDate>
  <CharactersWithSpaces>14013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lapochkina</dc:creator>
  <cp:lastModifiedBy>azna-nafikova</cp:lastModifiedBy>
  <cp:revision>4</cp:revision>
  <cp:lastPrinted>2018-07-17T06:26:00Z</cp:lastPrinted>
  <dcterms:created xsi:type="dcterms:W3CDTF">2023-10-10T05:36:00Z</dcterms:created>
  <dcterms:modified xsi:type="dcterms:W3CDTF">2023-10-11T05:22:00Z</dcterms:modified>
</cp:coreProperties>
</file>