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B76" w:rsidRPr="00E73938" w:rsidRDefault="00750B76" w:rsidP="003370CB">
      <w:pPr>
        <w:pStyle w:val="ConsPlusTitle"/>
        <w:widowControl/>
        <w:jc w:val="center"/>
        <w:outlineLvl w:val="0"/>
        <w:rPr>
          <w:rFonts w:ascii="Times New Roman" w:hAnsi="Times New Roman" w:cs="Times New Roman"/>
        </w:rPr>
      </w:pPr>
      <w:r w:rsidRPr="00E73938">
        <w:rPr>
          <w:rFonts w:ascii="Times New Roman" w:hAnsi="Times New Roman" w:cs="Times New Roman"/>
        </w:rPr>
        <w:t>БЮДЖЕТНЫЙ КОДЕКС РЕСПУБЛИКИ ТАТАРСТАН</w:t>
      </w:r>
    </w:p>
    <w:p w:rsidR="00BE56AB" w:rsidRPr="00E73938" w:rsidRDefault="00BE56AB" w:rsidP="003370CB">
      <w:pPr>
        <w:autoSpaceDE w:val="0"/>
        <w:autoSpaceDN w:val="0"/>
        <w:adjustRightInd w:val="0"/>
        <w:spacing w:line="240" w:lineRule="auto"/>
        <w:ind w:firstLine="567"/>
        <w:jc w:val="both"/>
        <w:rPr>
          <w:rFonts w:ascii="Times New Roman" w:hAnsi="Times New Roman"/>
          <w:b/>
          <w:szCs w:val="28"/>
          <w:lang w:eastAsia="ru-RU"/>
        </w:rPr>
      </w:pPr>
    </w:p>
    <w:p w:rsidR="00BE56AB" w:rsidRPr="00E73938" w:rsidRDefault="00BE56AB" w:rsidP="003370CB">
      <w:pPr>
        <w:autoSpaceDE w:val="0"/>
        <w:autoSpaceDN w:val="0"/>
        <w:adjustRightInd w:val="0"/>
        <w:spacing w:line="240" w:lineRule="auto"/>
        <w:ind w:firstLine="567"/>
        <w:jc w:val="both"/>
        <w:rPr>
          <w:rFonts w:ascii="Times New Roman" w:hAnsi="Times New Roman"/>
          <w:b/>
          <w:szCs w:val="28"/>
          <w:lang w:eastAsia="ru-RU"/>
        </w:rPr>
      </w:pPr>
      <w:r w:rsidRPr="00E73938">
        <w:rPr>
          <w:rFonts w:ascii="Times New Roman" w:hAnsi="Times New Roman"/>
          <w:b/>
          <w:szCs w:val="28"/>
          <w:lang w:eastAsia="ru-RU"/>
        </w:rPr>
        <w:t>Статья 44</w:t>
      </w:r>
      <w:r w:rsidRPr="00E73938">
        <w:rPr>
          <w:rFonts w:ascii="Times New Roman" w:hAnsi="Times New Roman"/>
          <w:b/>
          <w:szCs w:val="28"/>
          <w:vertAlign w:val="superscript"/>
          <w:lang w:eastAsia="ru-RU"/>
        </w:rPr>
        <w:t>2</w:t>
      </w:r>
      <w:r w:rsidRPr="00E73938">
        <w:rPr>
          <w:rFonts w:ascii="Times New Roman" w:hAnsi="Times New Roman"/>
          <w:b/>
          <w:szCs w:val="28"/>
          <w:lang w:eastAsia="ru-RU"/>
        </w:rPr>
        <w:t>. Дотации на выравнивание бюджетной обеспеченности муниципальных районов (городских округов)</w:t>
      </w:r>
    </w:p>
    <w:p w:rsidR="00106E72" w:rsidRPr="00E73938" w:rsidRDefault="00106E72" w:rsidP="003370CB">
      <w:pPr>
        <w:pStyle w:val="ConsPlusNormal"/>
        <w:ind w:firstLine="567"/>
        <w:jc w:val="both"/>
        <w:rPr>
          <w:rFonts w:ascii="Times New Roman" w:hAnsi="Times New Roman" w:cs="Times New Roman"/>
          <w:bCs/>
        </w:rPr>
      </w:pP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1. Дотации на выравнивание бюджетной обеспеченности муниципальных районов (городских округов) предусматриваются в бюджете Республики Татарстан в целях выравнивания бюджетной обеспеченности муниципальных районов (городских округов).</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 xml:space="preserve">Порядок и методика распределения дотаций на выравнивание бюджетной обеспеченности муниципальных районов (городских округов), а также порядок определения критерия выравнивания расчетной бюджетной обеспеченности муниципальных районов (городских округов) устанавливаются </w:t>
      </w:r>
      <w:hyperlink r:id="rId7" w:history="1">
        <w:r w:rsidRPr="00E73938">
          <w:rPr>
            <w:rFonts w:ascii="Times New Roman" w:hAnsi="Times New Roman" w:cs="Times New Roman"/>
            <w:bCs/>
          </w:rPr>
          <w:t>приложением 5</w:t>
        </w:r>
      </w:hyperlink>
      <w:r w:rsidRPr="00E73938">
        <w:rPr>
          <w:rFonts w:ascii="Times New Roman" w:hAnsi="Times New Roman" w:cs="Times New Roman"/>
          <w:bCs/>
        </w:rPr>
        <w:t xml:space="preserve"> к настоящему Кодексу.</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2. Объем дотаций на выравнивание бюджетной обеспеченности муниципальных районов (городских округов) утверждается законом Республики Татарстан о бюджете Республики Татарстан на очередной финансовый год и плановый период и определяется исходя из необходимости достижения критерия выравнивания расчетной бюджетной обеспеченности муниципальных районов (городских округов), установленного законом Республики Татарстан о бюджете Республики Татарстан на очередной финансовый год и плановый период.</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 xml:space="preserve">3. Дотации на выравнивание бюджетной обеспеченности муниципальных районов (городских округов) Республики Татарстан, за исключением дотаций, указанных в </w:t>
      </w:r>
      <w:hyperlink w:anchor="Par11" w:history="1">
        <w:r w:rsidRPr="00E73938">
          <w:rPr>
            <w:rFonts w:ascii="Times New Roman" w:hAnsi="Times New Roman" w:cs="Times New Roman"/>
            <w:bCs/>
          </w:rPr>
          <w:t>пункте 4</w:t>
        </w:r>
      </w:hyperlink>
      <w:r w:rsidRPr="00E73938">
        <w:rPr>
          <w:rFonts w:ascii="Times New Roman" w:hAnsi="Times New Roman" w:cs="Times New Roman"/>
          <w:bCs/>
        </w:rPr>
        <w:t xml:space="preserve"> настоящей статьи, предоставляются муниципальным районам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(городских округов).</w:t>
      </w:r>
    </w:p>
    <w:p w:rsidR="004852B3" w:rsidRPr="00E73938" w:rsidRDefault="004852B3" w:rsidP="003370CB">
      <w:pPr>
        <w:pStyle w:val="ConsPlusNormal"/>
        <w:ind w:firstLine="567"/>
        <w:jc w:val="both"/>
        <w:rPr>
          <w:rFonts w:ascii="Times New Roman" w:hAnsi="Times New Roman" w:cs="Times New Roman"/>
          <w:bCs/>
        </w:rPr>
      </w:pPr>
      <w:proofErr w:type="gramStart"/>
      <w:r w:rsidRPr="00E73938">
        <w:rPr>
          <w:rFonts w:ascii="Times New Roman" w:hAnsi="Times New Roman" w:cs="Times New Roman"/>
          <w:bCs/>
        </w:rPr>
        <w:t>Уровень расчетной бюджетной обеспеченности муниципальных районов (городских округов) определяется соотношением налоговых доходов на одного жителя, которые могут быть получены бюджетом муниципального района (городского округа) или консолидированным бюджетом муниципального района (бюджетом городского округа) исходя из уровня развития и структуры экономики и (или) налоговой базы (налогового потенциала), и аналогичного показателя в среднем по муниципальным районам (городским округам) Республики Татарстан с учетом различий</w:t>
      </w:r>
      <w:proofErr w:type="gramEnd"/>
      <w:r w:rsidRPr="00E73938">
        <w:rPr>
          <w:rFonts w:ascii="Times New Roman" w:hAnsi="Times New Roman" w:cs="Times New Roman"/>
          <w:bCs/>
        </w:rPr>
        <w:t xml:space="preserve">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 xml:space="preserve">Определение уровня расчетной бюджетной обеспеченности муниципальных районов (городских округов) производится по единой методике, обеспечивающей сопоставимость показателей, характеризующих факторы и условия, влияющие на стоимость предоставления муниципальных </w:t>
      </w:r>
      <w:r w:rsidRPr="00E73938">
        <w:rPr>
          <w:rFonts w:ascii="Times New Roman" w:hAnsi="Times New Roman" w:cs="Times New Roman"/>
          <w:bCs/>
        </w:rPr>
        <w:lastRenderedPageBreak/>
        <w:t>услуг в расчете на одного жителя, по муниципальным районам (городским округам).</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Использование при определении уровня расчетной бюджетной обеспеченности муниципальных районов (городских округов) показателей фактических доходов и расходов за отчетный период и (или) показателей прогнозируемых доходов и расходов бюджетов отдельных муниципальных районов (городских округов) не допускается.</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 xml:space="preserve">Порядок определения уровня расчетной бюджетной обеспеченности муниципальных районов (городских округов) устанавливается </w:t>
      </w:r>
      <w:hyperlink r:id="rId8" w:history="1">
        <w:r w:rsidRPr="00E73938">
          <w:rPr>
            <w:rFonts w:ascii="Times New Roman" w:hAnsi="Times New Roman" w:cs="Times New Roman"/>
            <w:bCs/>
          </w:rPr>
          <w:t>приложением 5</w:t>
        </w:r>
      </w:hyperlink>
      <w:r w:rsidRPr="00E73938">
        <w:rPr>
          <w:rFonts w:ascii="Times New Roman" w:hAnsi="Times New Roman" w:cs="Times New Roman"/>
          <w:bCs/>
        </w:rPr>
        <w:t xml:space="preserve"> к настоящему Кодексу. Уровень расчетной бюджетной обеспеченности муниципальных районов (городских округов) определяется с использованием показателей индекса бюджетных расходов и условного налогового потенциала, рассчитываемых в соответствии с </w:t>
      </w:r>
      <w:hyperlink r:id="rId9" w:history="1">
        <w:r w:rsidRPr="00E73938">
          <w:rPr>
            <w:rFonts w:ascii="Times New Roman" w:hAnsi="Times New Roman" w:cs="Times New Roman"/>
            <w:bCs/>
          </w:rPr>
          <w:t>приложениями 6</w:t>
        </w:r>
      </w:hyperlink>
      <w:r w:rsidRPr="00E73938">
        <w:rPr>
          <w:rFonts w:ascii="Times New Roman" w:hAnsi="Times New Roman" w:cs="Times New Roman"/>
          <w:bCs/>
        </w:rPr>
        <w:t xml:space="preserve"> и </w:t>
      </w:r>
      <w:hyperlink r:id="rId10" w:history="1">
        <w:r w:rsidRPr="00E73938">
          <w:rPr>
            <w:rFonts w:ascii="Times New Roman" w:hAnsi="Times New Roman" w:cs="Times New Roman"/>
            <w:bCs/>
          </w:rPr>
          <w:t>7</w:t>
        </w:r>
      </w:hyperlink>
      <w:r w:rsidRPr="00E73938">
        <w:rPr>
          <w:rFonts w:ascii="Times New Roman" w:hAnsi="Times New Roman" w:cs="Times New Roman"/>
          <w:bCs/>
        </w:rPr>
        <w:t xml:space="preserve"> к настоящему Кодексу соответственно.</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В составе дотаций, указанных в настоящем пункте, могут быть выделены дотации, отражающие отдельные показатели (условия), учитываемые при определении уровня расчетной бюджетной обеспеченности муниципальных районов (городских округов). Особенности расчета указанных дотаций определяются методикой распределения дотаций на выравнивание бюджетной обеспеченности муниципальных районов (городских округов). Законом Республики Татарстан о бюджете Республики Татарстан и (или) принятыми в соответствии с ним нормативными правовыми актами исполнительных органов государственной власти Республики Татарстан могут быть установлены особенности перечисления и использования указанных дотаций.</w:t>
      </w:r>
    </w:p>
    <w:p w:rsidR="004852B3" w:rsidRPr="00E73938" w:rsidRDefault="004852B3" w:rsidP="003370CB">
      <w:pPr>
        <w:pStyle w:val="ConsPlusNormal"/>
        <w:ind w:firstLine="567"/>
        <w:jc w:val="both"/>
        <w:rPr>
          <w:rFonts w:ascii="Times New Roman" w:hAnsi="Times New Roman" w:cs="Times New Roman"/>
          <w:bCs/>
        </w:rPr>
      </w:pPr>
      <w:bookmarkStart w:id="0" w:name="Par11"/>
      <w:bookmarkEnd w:id="0"/>
      <w:r w:rsidRPr="00E73938">
        <w:rPr>
          <w:rFonts w:ascii="Times New Roman" w:hAnsi="Times New Roman" w:cs="Times New Roman"/>
          <w:bCs/>
        </w:rPr>
        <w:t xml:space="preserve">4. </w:t>
      </w:r>
      <w:proofErr w:type="gramStart"/>
      <w:r w:rsidRPr="00E73938">
        <w:rPr>
          <w:rFonts w:ascii="Times New Roman" w:hAnsi="Times New Roman" w:cs="Times New Roman"/>
          <w:bCs/>
        </w:rPr>
        <w:t xml:space="preserve">Часть дотаций на выравнивание бюджетной обеспеченности муниципальных районов (городских округов) может предоставляться муниципальным районам (городским округам), за исключением муниципальных районов (городских округов), указанных в </w:t>
      </w:r>
      <w:hyperlink r:id="rId11" w:history="1">
        <w:r w:rsidRPr="00E73938">
          <w:rPr>
            <w:rFonts w:ascii="Times New Roman" w:hAnsi="Times New Roman" w:cs="Times New Roman"/>
            <w:bCs/>
          </w:rPr>
          <w:t>пункте 1 статьи 44</w:t>
        </w:r>
        <w:r w:rsidRPr="00145532">
          <w:rPr>
            <w:rFonts w:ascii="Times New Roman" w:hAnsi="Times New Roman" w:cs="Times New Roman"/>
            <w:bCs/>
            <w:vertAlign w:val="superscript"/>
          </w:rPr>
          <w:t>10</w:t>
        </w:r>
      </w:hyperlink>
      <w:r w:rsidRPr="00E73938">
        <w:rPr>
          <w:rFonts w:ascii="Times New Roman" w:hAnsi="Times New Roman" w:cs="Times New Roman"/>
          <w:bCs/>
        </w:rPr>
        <w:t xml:space="preserve"> настоящего Кодекса, исходя из численности жителей муниципального района (городского округа) в расчете на одного жителя в соответствии с единой методикой, установленной </w:t>
      </w:r>
      <w:hyperlink r:id="rId12" w:history="1">
        <w:r w:rsidRPr="00E73938">
          <w:rPr>
            <w:rFonts w:ascii="Times New Roman" w:hAnsi="Times New Roman" w:cs="Times New Roman"/>
            <w:bCs/>
          </w:rPr>
          <w:t>приложением 2</w:t>
        </w:r>
        <w:r w:rsidRPr="00145532">
          <w:rPr>
            <w:rFonts w:ascii="Times New Roman" w:hAnsi="Times New Roman" w:cs="Times New Roman"/>
            <w:bCs/>
            <w:vertAlign w:val="superscript"/>
          </w:rPr>
          <w:t>1</w:t>
        </w:r>
      </w:hyperlink>
      <w:r w:rsidRPr="00E73938">
        <w:rPr>
          <w:rFonts w:ascii="Times New Roman" w:hAnsi="Times New Roman" w:cs="Times New Roman"/>
          <w:bCs/>
        </w:rPr>
        <w:t xml:space="preserve"> к настоящему Кодексу.</w:t>
      </w:r>
      <w:proofErr w:type="gramEnd"/>
    </w:p>
    <w:p w:rsidR="004852B3" w:rsidRPr="00E73938" w:rsidRDefault="004852B3" w:rsidP="003370CB">
      <w:pPr>
        <w:pStyle w:val="ConsPlusNormal"/>
        <w:ind w:firstLine="567"/>
        <w:jc w:val="both"/>
        <w:rPr>
          <w:rFonts w:ascii="Times New Roman" w:hAnsi="Times New Roman" w:cs="Times New Roman"/>
          <w:bCs/>
        </w:rPr>
      </w:pPr>
      <w:bookmarkStart w:id="1" w:name="Par12"/>
      <w:bookmarkEnd w:id="1"/>
      <w:r w:rsidRPr="00E73938">
        <w:rPr>
          <w:rFonts w:ascii="Times New Roman" w:hAnsi="Times New Roman" w:cs="Times New Roman"/>
          <w:bCs/>
        </w:rPr>
        <w:t>5. При составлении и (или) утверждении бюджета Республики Татарстан по согласованию с представительными органами муниципальных образований дотации на выравнивание бюджетной обеспеченности муниципальных районов (городских округов) могут быть полностью или частично заменены дополнительными нормативами отчислений в бюджеты муниципальных районов (городских округов) от налога на доходы физических лиц.</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 xml:space="preserve">Указанный дополнительный норматив рассчитывается согласно </w:t>
      </w:r>
      <w:hyperlink r:id="rId13" w:history="1">
        <w:r w:rsidRPr="00E73938">
          <w:rPr>
            <w:rFonts w:ascii="Times New Roman" w:hAnsi="Times New Roman" w:cs="Times New Roman"/>
            <w:bCs/>
          </w:rPr>
          <w:t>приложению 1</w:t>
        </w:r>
      </w:hyperlink>
      <w:r w:rsidRPr="00E73938">
        <w:rPr>
          <w:rFonts w:ascii="Times New Roman" w:hAnsi="Times New Roman" w:cs="Times New Roman"/>
          <w:bCs/>
        </w:rPr>
        <w:t xml:space="preserve"> к настоящему Кодексу как отношение расчетного объема дотации (части расчетного объема дотации) муниципальному району (городскому округу) к прогнозируемому в соответствии с единой методикой объему налога на доходы физических лиц.</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 xml:space="preserve">Дополнительные нормативы отчислений от налога на доходы физических лиц устанавливаются на срок не менее трех лет. Изменение указанных </w:t>
      </w:r>
      <w:r w:rsidRPr="00E73938">
        <w:rPr>
          <w:rFonts w:ascii="Times New Roman" w:hAnsi="Times New Roman" w:cs="Times New Roman"/>
          <w:bCs/>
        </w:rPr>
        <w:lastRenderedPageBreak/>
        <w:t>нормативов отчислений в бюджеты муниципальных районов (городских округов) в течение текущего финансового года не допускается.</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Средства, полученные муниципальным районом (городским округом) по дополнительному нормативу отчислений от налога на доходы физических лиц сверх расчетного объема дотации (части расчетного объема дотации) на выравнивание бюджетной обеспеченности муниципальных районов (городских округов), изъятию в бюджет Республики Татарстан и (или) учету при последующем распределении межбюджетных трансфертов местным бюджетам не подлежат.</w:t>
      </w:r>
    </w:p>
    <w:p w:rsidR="004852B3" w:rsidRPr="00E73938" w:rsidRDefault="004852B3" w:rsidP="003370CB">
      <w:pPr>
        <w:pStyle w:val="ConsPlusNormal"/>
        <w:ind w:firstLine="567"/>
        <w:jc w:val="both"/>
        <w:rPr>
          <w:rFonts w:ascii="Times New Roman" w:hAnsi="Times New Roman" w:cs="Times New Roman"/>
          <w:bCs/>
        </w:rPr>
      </w:pPr>
      <w:proofErr w:type="gramStart"/>
      <w:r w:rsidRPr="00E73938">
        <w:rPr>
          <w:rFonts w:ascii="Times New Roman" w:hAnsi="Times New Roman" w:cs="Times New Roman"/>
          <w:bCs/>
        </w:rPr>
        <w:t>Потери бюджета муниципального района (городского округа) в связи с получением средств по дополнительному нормативу отчислений от налога на доходы физических лиц ниже расчетного объема дотации (части расчетного объема дотации) на выравнивание бюджетной обеспеченности муниципальных районов (городских округов) компенсации из бюджета Республики Татарстан и (или) учету при последующем распределении межбюджетных трансфертов местным бюджетам не подлежат.</w:t>
      </w:r>
      <w:proofErr w:type="gramEnd"/>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6. Распределение дотаций на выравнивание бюджетной обеспеченности муниципальных районов (городских округов) между муниципальными районами (городскими округами) и (или) заменяющие их дополнительные нормативы отчислений от налога на доходы физических лиц в бюджеты муниципальных районов (городских округов) утверждаются законом Республики Татарстан о бюджете Республики Татарстан на очередной финансовый год и плановый период.</w:t>
      </w:r>
    </w:p>
    <w:p w:rsidR="004852B3" w:rsidRPr="00E73938" w:rsidRDefault="004852B3" w:rsidP="003370CB">
      <w:pPr>
        <w:pStyle w:val="ConsPlusNormal"/>
        <w:ind w:firstLine="567"/>
        <w:jc w:val="both"/>
        <w:rPr>
          <w:rFonts w:ascii="Times New Roman" w:hAnsi="Times New Roman" w:cs="Times New Roman"/>
          <w:bCs/>
        </w:rPr>
      </w:pPr>
      <w:proofErr w:type="gramStart"/>
      <w:r w:rsidRPr="00E73938">
        <w:rPr>
          <w:rFonts w:ascii="Times New Roman" w:hAnsi="Times New Roman" w:cs="Times New Roman"/>
          <w:bCs/>
        </w:rPr>
        <w:t>Допускается утверждение на плановый период не распределенного между муниципальными районами (городскими округами) объема дотаций на выравнивание бюджетной обеспеченности муниципальных районов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roofErr w:type="gramEnd"/>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 xml:space="preserve">7. </w:t>
      </w:r>
      <w:proofErr w:type="gramStart"/>
      <w:r w:rsidRPr="00E73938">
        <w:rPr>
          <w:rFonts w:ascii="Times New Roman" w:hAnsi="Times New Roman" w:cs="Times New Roman"/>
          <w:bCs/>
        </w:rPr>
        <w:t>При определении объема дотаций на выравнивание бюджетной обеспеченности муниципальных районов (городских округов) на очередной финансовый год и плановый период не допускается снижение значения критерия выравнивания расчетной бюджетной обеспеченности муниципальных районов (городских округов) по сравнению со значением критерия, установленным законом Республики Татарстан о бюджете Республики Татарстан на текущий финансовый год и плановый период, а также размера дотации на выравнивание бюджетной обеспеченности</w:t>
      </w:r>
      <w:proofErr w:type="gramEnd"/>
      <w:r w:rsidRPr="00E73938">
        <w:rPr>
          <w:rFonts w:ascii="Times New Roman" w:hAnsi="Times New Roman" w:cs="Times New Roman"/>
          <w:bCs/>
        </w:rPr>
        <w:t xml:space="preserve"> </w:t>
      </w:r>
      <w:proofErr w:type="gramStart"/>
      <w:r w:rsidRPr="00E73938">
        <w:rPr>
          <w:rFonts w:ascii="Times New Roman" w:hAnsi="Times New Roman" w:cs="Times New Roman"/>
          <w:bCs/>
        </w:rPr>
        <w:t>муниципальных районов (городских округов) бюджету каждого муниципального района (городского округа) на очередной финансовый год и первый год планового периода по сравнению с размером дотации на выравнивание бюджетной обеспеченности муниципальных районов (городских округов), утвержденным соответственно на первый год планового периода и второй год планового периода в бюджете Республики Татарстан на текущий финансовый год и плановый период, с учетом замены дотации (части</w:t>
      </w:r>
      <w:proofErr w:type="gramEnd"/>
      <w:r w:rsidRPr="00E73938">
        <w:rPr>
          <w:rFonts w:ascii="Times New Roman" w:hAnsi="Times New Roman" w:cs="Times New Roman"/>
          <w:bCs/>
        </w:rPr>
        <w:t xml:space="preserve"> дотации) дополнительными нормативами </w:t>
      </w:r>
      <w:r w:rsidRPr="00E73938">
        <w:rPr>
          <w:rFonts w:ascii="Times New Roman" w:hAnsi="Times New Roman" w:cs="Times New Roman"/>
          <w:bCs/>
        </w:rPr>
        <w:lastRenderedPageBreak/>
        <w:t xml:space="preserve">отчислений в бюджеты муниципальных районов (городских округов) от налога на доходы физических лиц в соответствии с </w:t>
      </w:r>
      <w:hyperlink w:anchor="Par12" w:history="1">
        <w:r w:rsidRPr="00E73938">
          <w:rPr>
            <w:rFonts w:ascii="Times New Roman" w:hAnsi="Times New Roman" w:cs="Times New Roman"/>
            <w:bCs/>
          </w:rPr>
          <w:t>пунктом 5</w:t>
        </w:r>
      </w:hyperlink>
      <w:r w:rsidRPr="00E73938">
        <w:rPr>
          <w:rFonts w:ascii="Times New Roman" w:hAnsi="Times New Roman" w:cs="Times New Roman"/>
          <w:bCs/>
        </w:rPr>
        <w:t xml:space="preserve"> настоящей статьи, за исключением одного из следующих случаев:</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1) внесение федеральными законами изменений, приводящих к перераспределению полномочий и (или) доходов бюджетов между субъектами Российской Федерации, муниципальными районами, городскими округами;</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2) внесение законами Республики Татарстан и принятыми в соответствии с ними уставом муниципального района и уставами сельских поселений изменений, приводящих к перераспределению вопросов местного значения и (или) доходов бюджетов между муниципальным районом и сельским поселением;</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3) внесение законами Республики Татарстан изменений, приводящих к перераспределению полномочий между Республикой Татарстан и муниципальными районами (городскими округами).</w:t>
      </w:r>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 xml:space="preserve">8. </w:t>
      </w:r>
      <w:proofErr w:type="gramStart"/>
      <w:r w:rsidRPr="00E73938">
        <w:rPr>
          <w:rFonts w:ascii="Times New Roman" w:hAnsi="Times New Roman" w:cs="Times New Roman"/>
          <w:bCs/>
        </w:rPr>
        <w:t>Министерство финансов Республики Татарстан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муниципальных районов (городских округов) из бюджета Республики Татарстан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муниципального района (городского округа).</w:t>
      </w:r>
      <w:proofErr w:type="gramEnd"/>
    </w:p>
    <w:p w:rsidR="004852B3" w:rsidRPr="00E73938" w:rsidRDefault="004852B3" w:rsidP="003370CB">
      <w:pPr>
        <w:pStyle w:val="ConsPlusNormal"/>
        <w:ind w:firstLine="567"/>
        <w:jc w:val="both"/>
        <w:rPr>
          <w:rFonts w:ascii="Times New Roman" w:hAnsi="Times New Roman" w:cs="Times New Roman"/>
          <w:bCs/>
        </w:rPr>
      </w:pPr>
      <w:r w:rsidRPr="00E73938">
        <w:rPr>
          <w:rFonts w:ascii="Times New Roman" w:hAnsi="Times New Roman" w:cs="Times New Roman"/>
          <w:bCs/>
        </w:rPr>
        <w:t>Порядок, сроки заключения соглашений и требования к указанным соглашениям устанавливаются Кабинетом Министров Республики Татарстан. Меры ответственности за нарушение порядка и сроков заключения указанных соглашений и невыполнение органами местного самоуправления обязательств, возникающих из таких соглашений, устанавливаются Кабинетом Министров Республики Татарстан и применяются в текущем финансовом году по результатам выполнения соответствующим муниципальным районом (городским округом) обязательств в отчетном финансовом году.</w:t>
      </w:r>
    </w:p>
    <w:p w:rsidR="004852B3" w:rsidRPr="00E73938" w:rsidRDefault="004852B3" w:rsidP="003370CB">
      <w:pPr>
        <w:pStyle w:val="ConsPlusNormal"/>
        <w:ind w:firstLine="567"/>
        <w:jc w:val="both"/>
        <w:rPr>
          <w:rFonts w:ascii="Times New Roman" w:hAnsi="Times New Roman" w:cs="Times New Roman"/>
          <w:bCs/>
        </w:rPr>
      </w:pPr>
    </w:p>
    <w:p w:rsidR="00A65121" w:rsidRPr="00E73938" w:rsidRDefault="00A65121" w:rsidP="003370CB">
      <w:pPr>
        <w:spacing w:line="240" w:lineRule="auto"/>
        <w:ind w:firstLine="0"/>
        <w:jc w:val="both"/>
        <w:rPr>
          <w:rFonts w:ascii="Times New Roman" w:eastAsiaTheme="minorHAnsi" w:hAnsi="Times New Roman"/>
          <w:bCs/>
          <w:szCs w:val="28"/>
        </w:rPr>
      </w:pPr>
      <w:r w:rsidRPr="00E73938">
        <w:rPr>
          <w:rFonts w:ascii="Times New Roman" w:hAnsi="Times New Roman"/>
          <w:bCs/>
          <w:szCs w:val="28"/>
        </w:rPr>
        <w:br w:type="page"/>
      </w:r>
    </w:p>
    <w:p w:rsidR="00A65121" w:rsidRPr="00145532" w:rsidRDefault="00A65121" w:rsidP="003370CB">
      <w:pPr>
        <w:autoSpaceDE w:val="0"/>
        <w:autoSpaceDN w:val="0"/>
        <w:adjustRightInd w:val="0"/>
        <w:spacing w:line="240" w:lineRule="auto"/>
        <w:ind w:firstLine="0"/>
        <w:jc w:val="right"/>
        <w:outlineLvl w:val="0"/>
        <w:rPr>
          <w:rFonts w:ascii="Times New Roman" w:eastAsiaTheme="minorHAnsi" w:hAnsi="Times New Roman"/>
          <w:sz w:val="24"/>
          <w:szCs w:val="24"/>
        </w:rPr>
      </w:pPr>
      <w:r w:rsidRPr="00145532">
        <w:rPr>
          <w:rFonts w:ascii="Times New Roman" w:eastAsiaTheme="minorHAnsi" w:hAnsi="Times New Roman"/>
          <w:sz w:val="24"/>
          <w:szCs w:val="24"/>
        </w:rPr>
        <w:lastRenderedPageBreak/>
        <w:t>Приложение 5</w:t>
      </w:r>
    </w:p>
    <w:p w:rsidR="00A65121" w:rsidRPr="00145532" w:rsidRDefault="00A65121" w:rsidP="003370CB">
      <w:pPr>
        <w:autoSpaceDE w:val="0"/>
        <w:autoSpaceDN w:val="0"/>
        <w:adjustRightInd w:val="0"/>
        <w:spacing w:line="240" w:lineRule="auto"/>
        <w:ind w:firstLine="0"/>
        <w:jc w:val="right"/>
        <w:rPr>
          <w:rFonts w:ascii="Times New Roman" w:eastAsiaTheme="minorHAnsi" w:hAnsi="Times New Roman"/>
          <w:sz w:val="24"/>
          <w:szCs w:val="24"/>
        </w:rPr>
      </w:pPr>
      <w:r w:rsidRPr="00145532">
        <w:rPr>
          <w:rFonts w:ascii="Times New Roman" w:eastAsiaTheme="minorHAnsi" w:hAnsi="Times New Roman"/>
          <w:sz w:val="24"/>
          <w:szCs w:val="24"/>
        </w:rPr>
        <w:t>к Бюджетному кодексу</w:t>
      </w:r>
    </w:p>
    <w:p w:rsidR="00A65121" w:rsidRPr="00145532" w:rsidRDefault="00A65121" w:rsidP="003370CB">
      <w:pPr>
        <w:autoSpaceDE w:val="0"/>
        <w:autoSpaceDN w:val="0"/>
        <w:adjustRightInd w:val="0"/>
        <w:spacing w:line="240" w:lineRule="auto"/>
        <w:ind w:firstLine="0"/>
        <w:jc w:val="right"/>
        <w:rPr>
          <w:rFonts w:ascii="Times New Roman" w:eastAsiaTheme="minorHAnsi" w:hAnsi="Times New Roman"/>
          <w:sz w:val="24"/>
          <w:szCs w:val="24"/>
        </w:rPr>
      </w:pPr>
      <w:r w:rsidRPr="00145532">
        <w:rPr>
          <w:rFonts w:ascii="Times New Roman" w:eastAsiaTheme="minorHAnsi" w:hAnsi="Times New Roman"/>
          <w:sz w:val="24"/>
          <w:szCs w:val="24"/>
        </w:rPr>
        <w:t>Республики Татарстан</w:t>
      </w:r>
    </w:p>
    <w:p w:rsidR="00A65121" w:rsidRPr="00E73938" w:rsidRDefault="00A65121" w:rsidP="003370CB">
      <w:pPr>
        <w:autoSpaceDE w:val="0"/>
        <w:autoSpaceDN w:val="0"/>
        <w:adjustRightInd w:val="0"/>
        <w:spacing w:line="240" w:lineRule="auto"/>
        <w:ind w:firstLine="0"/>
        <w:jc w:val="both"/>
        <w:rPr>
          <w:rFonts w:ascii="Times New Roman" w:eastAsiaTheme="minorHAnsi" w:hAnsi="Times New Roman"/>
          <w:szCs w:val="28"/>
        </w:rPr>
      </w:pPr>
    </w:p>
    <w:p w:rsidR="00A65121" w:rsidRPr="00E73938" w:rsidRDefault="00A65121" w:rsidP="003370CB">
      <w:pPr>
        <w:autoSpaceDE w:val="0"/>
        <w:autoSpaceDN w:val="0"/>
        <w:adjustRightInd w:val="0"/>
        <w:spacing w:line="240" w:lineRule="auto"/>
        <w:ind w:firstLine="0"/>
        <w:jc w:val="center"/>
        <w:rPr>
          <w:rFonts w:ascii="Times New Roman" w:eastAsiaTheme="minorHAnsi" w:hAnsi="Times New Roman"/>
          <w:bCs/>
          <w:szCs w:val="28"/>
        </w:rPr>
      </w:pPr>
      <w:r w:rsidRPr="00E73938">
        <w:rPr>
          <w:rFonts w:ascii="Times New Roman" w:eastAsiaTheme="minorHAnsi" w:hAnsi="Times New Roman"/>
          <w:bCs/>
          <w:szCs w:val="28"/>
        </w:rPr>
        <w:t>МЕТОДИКА РАСПРЕДЕЛЕНИЯ ДОТАЦИЙ НА ВЫРАВНИВАНИЕ</w:t>
      </w:r>
    </w:p>
    <w:p w:rsidR="00A65121" w:rsidRPr="00E73938" w:rsidRDefault="00A65121" w:rsidP="003370CB">
      <w:pPr>
        <w:autoSpaceDE w:val="0"/>
        <w:autoSpaceDN w:val="0"/>
        <w:adjustRightInd w:val="0"/>
        <w:spacing w:line="240" w:lineRule="auto"/>
        <w:ind w:firstLine="0"/>
        <w:jc w:val="center"/>
        <w:rPr>
          <w:rFonts w:ascii="Times New Roman" w:eastAsiaTheme="minorHAnsi" w:hAnsi="Times New Roman"/>
          <w:bCs/>
          <w:szCs w:val="28"/>
        </w:rPr>
      </w:pPr>
      <w:r w:rsidRPr="00E73938">
        <w:rPr>
          <w:rFonts w:ascii="Times New Roman" w:eastAsiaTheme="minorHAnsi" w:hAnsi="Times New Roman"/>
          <w:bCs/>
          <w:szCs w:val="28"/>
        </w:rPr>
        <w:t>БЮДЖЕТНОЙ ОБЕСПЕЧЕННОСТИ МУНИЦИПАЛЬНЫХ РАЙОНОВ</w:t>
      </w:r>
    </w:p>
    <w:p w:rsidR="00A65121" w:rsidRPr="00E73938" w:rsidRDefault="00A65121" w:rsidP="003370CB">
      <w:pPr>
        <w:autoSpaceDE w:val="0"/>
        <w:autoSpaceDN w:val="0"/>
        <w:adjustRightInd w:val="0"/>
        <w:spacing w:line="240" w:lineRule="auto"/>
        <w:ind w:firstLine="0"/>
        <w:jc w:val="center"/>
        <w:rPr>
          <w:rFonts w:ascii="Times New Roman" w:eastAsiaTheme="minorHAnsi" w:hAnsi="Times New Roman"/>
          <w:bCs/>
          <w:szCs w:val="28"/>
        </w:rPr>
      </w:pPr>
      <w:r w:rsidRPr="00E73938">
        <w:rPr>
          <w:rFonts w:ascii="Times New Roman" w:eastAsiaTheme="minorHAnsi" w:hAnsi="Times New Roman"/>
          <w:bCs/>
          <w:szCs w:val="28"/>
        </w:rPr>
        <w:t>(ГОРОДСКИХ ОКРУГОВ) ИЗ БЮДЖЕТА РЕСПУБЛИКИ ТАТАРСТАН</w:t>
      </w:r>
    </w:p>
    <w:p w:rsidR="00A65121" w:rsidRPr="00E73938" w:rsidRDefault="00A65121"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1. Дотации на выравнивание бюджетной обеспеченности муниципальных районов (городских округов) (далее также - дотации) распределяются между муниципальными районами (городскими округами) исходя из уровня расчетной бюджетной обеспеченности на основе сопоставления уровня расчетной бюджетной обеспеченности муниципальных районов (городских округов) и аналогичного показателя в среднем по муниципальным районам (городским округам) Республики Татарстан.</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2. Уровень расчетной бюджетной обеспеченности муниципального района (городского округа) определяется как соотношение его условного налогового потенциала к аналогичному показателю, рассчитанному по всем муниципальным районам (городским округам), в расчете на одного жителя, с учетом объективных факторов и условий, влияющих на стоимость предоставления бюджетных услуг, и рассчитывается по формуле: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990850" cy="1171575"/>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90850" cy="1171575"/>
                    </a:xfrm>
                    <a:prstGeom prst="rect">
                      <a:avLst/>
                    </a:prstGeom>
                    <a:noFill/>
                    <a:ln>
                      <a:noFill/>
                    </a:ln>
                  </pic:spPr>
                </pic:pic>
              </a:graphicData>
            </a:graphic>
          </wp:inline>
        </w:drawing>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где: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600075" cy="36195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361950"/>
                    </a:xfrm>
                    <a:prstGeom prst="rect">
                      <a:avLst/>
                    </a:prstGeom>
                    <a:noFill/>
                    <a:ln>
                      <a:noFill/>
                    </a:ln>
                  </pic:spPr>
                </pic:pic>
              </a:graphicData>
            </a:graphic>
          </wp:inline>
        </w:drawing>
      </w:r>
      <w:r w:rsidRPr="00E73938">
        <w:rPr>
          <w:rFonts w:ascii="Times New Roman" w:hAnsi="Times New Roman"/>
          <w:szCs w:val="28"/>
        </w:rPr>
        <w:t xml:space="preserve"> - уровень расчетной бюджетной обеспеченности i-го муниципального района (городского округа);</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23875" cy="26670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266700"/>
                    </a:xfrm>
                    <a:prstGeom prst="rect">
                      <a:avLst/>
                    </a:prstGeom>
                    <a:noFill/>
                    <a:ln>
                      <a:noFill/>
                    </a:ln>
                  </pic:spPr>
                </pic:pic>
              </a:graphicData>
            </a:graphic>
          </wp:inline>
        </w:drawing>
      </w:r>
      <w:r w:rsidRPr="00E73938">
        <w:rPr>
          <w:rFonts w:ascii="Times New Roman" w:hAnsi="Times New Roman"/>
          <w:szCs w:val="28"/>
        </w:rPr>
        <w:t xml:space="preserve"> - индекс бюджетных расходов i-го муниципального района (городского округа), рассчитываемый в соответствии с порядком, установленным </w:t>
      </w:r>
      <w:hyperlink r:id="rId17" w:history="1">
        <w:r w:rsidRPr="00E73938">
          <w:rPr>
            <w:rFonts w:ascii="Times New Roman" w:hAnsi="Times New Roman"/>
            <w:szCs w:val="28"/>
          </w:rPr>
          <w:t>приложением 6</w:t>
        </w:r>
      </w:hyperlink>
      <w:r w:rsidRPr="00E73938">
        <w:rPr>
          <w:rFonts w:ascii="Times New Roman" w:hAnsi="Times New Roman"/>
          <w:szCs w:val="28"/>
        </w:rPr>
        <w:t xml:space="preserve"> к настоящему Кодексу;</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90550" cy="28575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285750"/>
                    </a:xfrm>
                    <a:prstGeom prst="rect">
                      <a:avLst/>
                    </a:prstGeom>
                    <a:noFill/>
                    <a:ln>
                      <a:noFill/>
                    </a:ln>
                  </pic:spPr>
                </pic:pic>
              </a:graphicData>
            </a:graphic>
          </wp:inline>
        </w:drawing>
      </w:r>
      <w:r w:rsidRPr="00E73938">
        <w:rPr>
          <w:rFonts w:ascii="Times New Roman" w:hAnsi="Times New Roman"/>
          <w:szCs w:val="28"/>
        </w:rPr>
        <w:t xml:space="preserve"> - условный налоговый потенциал i-го муниципального района (городского округа), рассчитываемый в соответствии с порядком, установленным </w:t>
      </w:r>
      <w:hyperlink r:id="rId19" w:history="1">
        <w:r w:rsidRPr="00E73938">
          <w:rPr>
            <w:rFonts w:ascii="Times New Roman" w:hAnsi="Times New Roman"/>
            <w:szCs w:val="28"/>
          </w:rPr>
          <w:t>приложением 7</w:t>
        </w:r>
      </w:hyperlink>
      <w:r w:rsidRPr="00E73938">
        <w:rPr>
          <w:rFonts w:ascii="Times New Roman" w:hAnsi="Times New Roman"/>
          <w:szCs w:val="28"/>
        </w:rPr>
        <w:t xml:space="preserve"> к настоящему Кодексу;</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66700" cy="26670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E73938">
        <w:rPr>
          <w:rFonts w:ascii="Times New Roman" w:hAnsi="Times New Roman"/>
          <w:szCs w:val="28"/>
        </w:rPr>
        <w:t xml:space="preserve"> - численность населения i-го муниципального района (городского округа);</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roofErr w:type="spellStart"/>
      <w:r w:rsidRPr="00E73938">
        <w:rPr>
          <w:rFonts w:ascii="Times New Roman" w:hAnsi="Times New Roman"/>
          <w:szCs w:val="28"/>
        </w:rPr>
        <w:t>n</w:t>
      </w:r>
      <w:proofErr w:type="spellEnd"/>
      <w:r w:rsidRPr="00E73938">
        <w:rPr>
          <w:rFonts w:ascii="Times New Roman" w:hAnsi="Times New Roman"/>
          <w:szCs w:val="28"/>
        </w:rPr>
        <w:t xml:space="preserve"> - число муниципальных районов (городских округов) в Республике Татарстан.</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lastRenderedPageBreak/>
        <w:t>3. Дотации распределяются комбинированным способом. Первая часть дотаций распределяется с использованием метода пропорционального выравнивания расчетной бюджетной обеспеченности; вторая часть - с использованием метода выравнивания до "гарантированного минимума":</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1209675" cy="32385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9675" cy="323850"/>
                    </a:xfrm>
                    <a:prstGeom prst="rect">
                      <a:avLst/>
                    </a:prstGeom>
                    <a:noFill/>
                    <a:ln>
                      <a:noFill/>
                    </a:ln>
                  </pic:spPr>
                </pic:pic>
              </a:graphicData>
            </a:graphic>
          </wp:inline>
        </w:drawing>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где: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66700" cy="26670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E73938">
        <w:rPr>
          <w:rFonts w:ascii="Times New Roman" w:hAnsi="Times New Roman"/>
          <w:szCs w:val="28"/>
        </w:rPr>
        <w:t xml:space="preserve"> - общий объем дотаций на выравнивание бюджетной обеспеченности муниципальных районов (городских округов) из бюджета Республики Татарстан </w:t>
      </w:r>
      <w:proofErr w:type="spellStart"/>
      <w:r w:rsidRPr="00E73938">
        <w:rPr>
          <w:rFonts w:ascii="Times New Roman" w:hAnsi="Times New Roman"/>
          <w:szCs w:val="28"/>
        </w:rPr>
        <w:t>i-му</w:t>
      </w:r>
      <w:proofErr w:type="spellEnd"/>
      <w:r w:rsidRPr="00E73938">
        <w:rPr>
          <w:rFonts w:ascii="Times New Roman" w:hAnsi="Times New Roman"/>
          <w:szCs w:val="28"/>
        </w:rPr>
        <w:t xml:space="preserve"> муниципальному району (городскому округу) исходя из уровня расчетной бюджетной обеспеченности;</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85750" cy="32385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5750" cy="323850"/>
                    </a:xfrm>
                    <a:prstGeom prst="rect">
                      <a:avLst/>
                    </a:prstGeom>
                    <a:noFill/>
                    <a:ln>
                      <a:noFill/>
                    </a:ln>
                  </pic:spPr>
                </pic:pic>
              </a:graphicData>
            </a:graphic>
          </wp:inline>
        </w:drawing>
      </w:r>
      <w:r w:rsidRPr="00E73938">
        <w:rPr>
          <w:rFonts w:ascii="Times New Roman" w:hAnsi="Times New Roman"/>
          <w:szCs w:val="28"/>
        </w:rPr>
        <w:t xml:space="preserve"> - объем части дотаций </w:t>
      </w:r>
      <w:proofErr w:type="spellStart"/>
      <w:r w:rsidRPr="00E73938">
        <w:rPr>
          <w:rFonts w:ascii="Times New Roman" w:hAnsi="Times New Roman"/>
          <w:szCs w:val="28"/>
        </w:rPr>
        <w:t>i-му</w:t>
      </w:r>
      <w:proofErr w:type="spellEnd"/>
      <w:r w:rsidRPr="00E73938">
        <w:rPr>
          <w:rFonts w:ascii="Times New Roman" w:hAnsi="Times New Roman"/>
          <w:szCs w:val="28"/>
        </w:rPr>
        <w:t xml:space="preserve"> муниципальному району (городскому округу), распределение которой осуществляется методом пропорционального выравнивания;</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304800" cy="32385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323850"/>
                    </a:xfrm>
                    <a:prstGeom prst="rect">
                      <a:avLst/>
                    </a:prstGeom>
                    <a:noFill/>
                    <a:ln>
                      <a:noFill/>
                    </a:ln>
                  </pic:spPr>
                </pic:pic>
              </a:graphicData>
            </a:graphic>
          </wp:inline>
        </w:drawing>
      </w:r>
      <w:r w:rsidRPr="00E73938">
        <w:rPr>
          <w:rFonts w:ascii="Times New Roman" w:hAnsi="Times New Roman"/>
          <w:szCs w:val="28"/>
        </w:rPr>
        <w:t xml:space="preserve"> - объем части дотаций </w:t>
      </w:r>
      <w:proofErr w:type="spellStart"/>
      <w:r w:rsidRPr="00E73938">
        <w:rPr>
          <w:rFonts w:ascii="Times New Roman" w:hAnsi="Times New Roman"/>
          <w:szCs w:val="28"/>
        </w:rPr>
        <w:t>i-му</w:t>
      </w:r>
      <w:proofErr w:type="spellEnd"/>
      <w:r w:rsidRPr="00E73938">
        <w:rPr>
          <w:rFonts w:ascii="Times New Roman" w:hAnsi="Times New Roman"/>
          <w:szCs w:val="28"/>
        </w:rPr>
        <w:t xml:space="preserve"> муниципальному району (городскому округу), распределение которой осуществляется методом выравнивания до "гарантированного минимума".</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4. Соотношения между частями дотаций, распределяемыми тем или иным методом, определяются ежегодно при составлении проекта бюджета Республики Татарстан на очередной финансовый год и плановый период.</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5. Распределение части дотаций с использованием метода пропорционального выравнивания расчетной бюджетной обеспеченности осуществляется по формуле: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1695450" cy="59055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95450" cy="590550"/>
                    </a:xfrm>
                    <a:prstGeom prst="rect">
                      <a:avLst/>
                    </a:prstGeom>
                    <a:noFill/>
                    <a:ln>
                      <a:noFill/>
                    </a:ln>
                  </pic:spPr>
                </pic:pic>
              </a:graphicData>
            </a:graphic>
          </wp:inline>
        </w:drawing>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где: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66700" cy="323850"/>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323850"/>
                    </a:xfrm>
                    <a:prstGeom prst="rect">
                      <a:avLst/>
                    </a:prstGeom>
                    <a:noFill/>
                    <a:ln>
                      <a:noFill/>
                    </a:ln>
                  </pic:spPr>
                </pic:pic>
              </a:graphicData>
            </a:graphic>
          </wp:inline>
        </w:drawing>
      </w:r>
      <w:r w:rsidRPr="00E73938">
        <w:rPr>
          <w:rFonts w:ascii="Times New Roman" w:hAnsi="Times New Roman"/>
          <w:szCs w:val="28"/>
        </w:rPr>
        <w:t xml:space="preserve"> - объем части дотаций </w:t>
      </w:r>
      <w:proofErr w:type="spellStart"/>
      <w:r w:rsidRPr="00E73938">
        <w:rPr>
          <w:rFonts w:ascii="Times New Roman" w:hAnsi="Times New Roman"/>
          <w:szCs w:val="28"/>
        </w:rPr>
        <w:t>i-му</w:t>
      </w:r>
      <w:proofErr w:type="spellEnd"/>
      <w:r w:rsidRPr="00E73938">
        <w:rPr>
          <w:rFonts w:ascii="Times New Roman" w:hAnsi="Times New Roman"/>
          <w:szCs w:val="28"/>
        </w:rPr>
        <w:t xml:space="preserve"> муниципальному району (городскому округу), распределение которой осуществляется методом пропорционального выравнивания;</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371475" cy="29527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1475" cy="295275"/>
                    </a:xfrm>
                    <a:prstGeom prst="rect">
                      <a:avLst/>
                    </a:prstGeom>
                    <a:noFill/>
                    <a:ln>
                      <a:noFill/>
                    </a:ln>
                  </pic:spPr>
                </pic:pic>
              </a:graphicData>
            </a:graphic>
          </wp:inline>
        </w:drawing>
      </w:r>
      <w:r w:rsidRPr="00E73938">
        <w:rPr>
          <w:rFonts w:ascii="Times New Roman" w:hAnsi="Times New Roman"/>
          <w:szCs w:val="28"/>
        </w:rPr>
        <w:t>- доля дотаций, распределение которых осуществляется с использованием метода пропорционального выравнивания;</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95275" cy="29527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sidRPr="00E73938">
        <w:rPr>
          <w:rFonts w:ascii="Times New Roman" w:hAnsi="Times New Roman"/>
          <w:szCs w:val="28"/>
        </w:rPr>
        <w:t xml:space="preserve"> - общий объем дотаций;</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66700" cy="26670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E73938">
        <w:rPr>
          <w:rFonts w:ascii="Times New Roman" w:hAnsi="Times New Roman"/>
          <w:szCs w:val="28"/>
        </w:rPr>
        <w:t>- объем средств, необходимых для достижения i-м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 муниципальных районов (городских округов);</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lastRenderedPageBreak/>
        <w:t>H - объем средств, необходимых для достижения всеми муниципальными районами (городскими округами) уровня расчетной бюджетной обеспеченности, установленного в качестве критерия выравнивания расчетной бюджетной обеспеченности муниципальных районов (городских округов).</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6. Определение объема средств, необходимых для достижения i-м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 муниципальных районов (городских округов), осуществляется по формуле: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3638550" cy="117157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38550" cy="1171575"/>
                    </a:xfrm>
                    <a:prstGeom prst="rect">
                      <a:avLst/>
                    </a:prstGeom>
                    <a:noFill/>
                    <a:ln>
                      <a:noFill/>
                    </a:ln>
                  </pic:spPr>
                </pic:pic>
              </a:graphicData>
            </a:graphic>
          </wp:inline>
        </w:drawing>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где: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66700" cy="2667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E73938">
        <w:rPr>
          <w:rFonts w:ascii="Times New Roman" w:hAnsi="Times New Roman"/>
          <w:szCs w:val="28"/>
        </w:rPr>
        <w:t xml:space="preserve"> - объем средств, необходимых для достижения i-м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 муниципальных районов (городских округов);</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23875" cy="2667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266700"/>
                    </a:xfrm>
                    <a:prstGeom prst="rect">
                      <a:avLst/>
                    </a:prstGeom>
                    <a:noFill/>
                    <a:ln>
                      <a:noFill/>
                    </a:ln>
                  </pic:spPr>
                </pic:pic>
              </a:graphicData>
            </a:graphic>
          </wp:inline>
        </w:drawing>
      </w:r>
      <w:r w:rsidRPr="00E73938">
        <w:rPr>
          <w:rFonts w:ascii="Times New Roman" w:hAnsi="Times New Roman"/>
          <w:szCs w:val="28"/>
        </w:rPr>
        <w:t xml:space="preserve">- индекс бюджетных расходов i-го муниципального района (городского округа), рассчитываемый в соответствии с порядком, установленным </w:t>
      </w:r>
      <w:hyperlink r:id="rId33" w:history="1">
        <w:r w:rsidRPr="00E73938">
          <w:rPr>
            <w:rFonts w:ascii="Times New Roman" w:hAnsi="Times New Roman"/>
            <w:szCs w:val="28"/>
          </w:rPr>
          <w:t>приложением 6</w:t>
        </w:r>
      </w:hyperlink>
      <w:r w:rsidRPr="00E73938">
        <w:rPr>
          <w:rFonts w:ascii="Times New Roman" w:hAnsi="Times New Roman"/>
          <w:szCs w:val="28"/>
        </w:rPr>
        <w:t xml:space="preserve"> к настоящему Кодексу);</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66700" cy="26670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E73938">
        <w:rPr>
          <w:rFonts w:ascii="Times New Roman" w:hAnsi="Times New Roman"/>
          <w:szCs w:val="28"/>
        </w:rPr>
        <w:t>- численность населения i-го муниципального района (городского округа);</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K - критерий выравнивания расчетной бюджетной обеспеченности муниципальных районов (городских округов);</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90550" cy="36195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361950"/>
                    </a:xfrm>
                    <a:prstGeom prst="rect">
                      <a:avLst/>
                    </a:prstGeom>
                    <a:noFill/>
                    <a:ln>
                      <a:noFill/>
                    </a:ln>
                  </pic:spPr>
                </pic:pic>
              </a:graphicData>
            </a:graphic>
          </wp:inline>
        </w:drawing>
      </w:r>
      <w:r w:rsidRPr="00E73938">
        <w:rPr>
          <w:rFonts w:ascii="Times New Roman" w:hAnsi="Times New Roman"/>
          <w:szCs w:val="28"/>
        </w:rPr>
        <w:t xml:space="preserve"> - уровень расчетной бюджетной обеспеченности i-го муниципального района (городского округа);</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90550" cy="28575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285750"/>
                    </a:xfrm>
                    <a:prstGeom prst="rect">
                      <a:avLst/>
                    </a:prstGeom>
                    <a:noFill/>
                    <a:ln>
                      <a:noFill/>
                    </a:ln>
                  </pic:spPr>
                </pic:pic>
              </a:graphicData>
            </a:graphic>
          </wp:inline>
        </w:drawing>
      </w:r>
      <w:r w:rsidRPr="00E73938">
        <w:rPr>
          <w:rFonts w:ascii="Times New Roman" w:hAnsi="Times New Roman"/>
          <w:szCs w:val="28"/>
        </w:rPr>
        <w:t xml:space="preserve"> - условный налоговый потенциал i-го муниципального района (городского округа), рассчитываемый в соответствии с порядком, установленным </w:t>
      </w:r>
      <w:hyperlink r:id="rId35" w:history="1">
        <w:r w:rsidRPr="00E73938">
          <w:rPr>
            <w:rFonts w:ascii="Times New Roman" w:hAnsi="Times New Roman"/>
            <w:szCs w:val="28"/>
          </w:rPr>
          <w:t>приложением 7</w:t>
        </w:r>
      </w:hyperlink>
      <w:r w:rsidRPr="00E73938">
        <w:rPr>
          <w:rFonts w:ascii="Times New Roman" w:hAnsi="Times New Roman"/>
          <w:szCs w:val="28"/>
        </w:rPr>
        <w:t xml:space="preserve"> к настоящему Кодексу;</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roofErr w:type="spellStart"/>
      <w:r w:rsidRPr="00E73938">
        <w:rPr>
          <w:rFonts w:ascii="Times New Roman" w:hAnsi="Times New Roman"/>
          <w:szCs w:val="28"/>
        </w:rPr>
        <w:t>n</w:t>
      </w:r>
      <w:proofErr w:type="spellEnd"/>
      <w:r w:rsidRPr="00E73938">
        <w:rPr>
          <w:rFonts w:ascii="Times New Roman" w:hAnsi="Times New Roman"/>
          <w:szCs w:val="28"/>
        </w:rPr>
        <w:t xml:space="preserve"> - число муниципальных районов (городских округов) в Республике Татарстан.</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7. Критерий выравнивания расчетной бюджетной обеспеченности муниципальных районов (городских округов) определяется ежегодно при составлении проекта бюджета Республики Татарстан на очередной финансовый год и плановый период с учетом разницы в оценках суммарных потребностей и доходных возможностей муниципальных образований.</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lastRenderedPageBreak/>
        <w:t>Уровень, устанавливаемый в качестве критерия выравнивания расчетной бюджетной обеспеченности муниципальных районов (городских округов), определяется по следующей формуле: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076450" cy="52387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76450" cy="523875"/>
                    </a:xfrm>
                    <a:prstGeom prst="rect">
                      <a:avLst/>
                    </a:prstGeom>
                    <a:noFill/>
                    <a:ln>
                      <a:noFill/>
                    </a:ln>
                  </pic:spPr>
                </pic:pic>
              </a:graphicData>
            </a:graphic>
          </wp:inline>
        </w:drawing>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где: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roofErr w:type="gramStart"/>
      <w:r w:rsidRPr="00E73938">
        <w:rPr>
          <w:rFonts w:ascii="Times New Roman" w:hAnsi="Times New Roman"/>
          <w:szCs w:val="28"/>
        </w:rPr>
        <w:t>К</w:t>
      </w:r>
      <w:proofErr w:type="gramEnd"/>
      <w:r w:rsidRPr="00E73938">
        <w:rPr>
          <w:rFonts w:ascii="Times New Roman" w:hAnsi="Times New Roman"/>
          <w:szCs w:val="28"/>
        </w:rPr>
        <w:t xml:space="preserve"> - </w:t>
      </w:r>
      <w:proofErr w:type="gramStart"/>
      <w:r w:rsidRPr="00E73938">
        <w:rPr>
          <w:rFonts w:ascii="Times New Roman" w:hAnsi="Times New Roman"/>
          <w:szCs w:val="28"/>
        </w:rPr>
        <w:t>критерий</w:t>
      </w:r>
      <w:proofErr w:type="gramEnd"/>
      <w:r w:rsidRPr="00E73938">
        <w:rPr>
          <w:rFonts w:ascii="Times New Roman" w:hAnsi="Times New Roman"/>
          <w:szCs w:val="28"/>
        </w:rPr>
        <w:t xml:space="preserve"> выравнивания расчетной бюджетной обеспеченности муниципальных районов (городских округов);</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90550" cy="36195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361950"/>
                    </a:xfrm>
                    <a:prstGeom prst="rect">
                      <a:avLst/>
                    </a:prstGeom>
                    <a:noFill/>
                    <a:ln>
                      <a:noFill/>
                    </a:ln>
                  </pic:spPr>
                </pic:pic>
              </a:graphicData>
            </a:graphic>
          </wp:inline>
        </w:drawing>
      </w:r>
      <w:r w:rsidRPr="00E73938">
        <w:rPr>
          <w:rFonts w:ascii="Times New Roman" w:hAnsi="Times New Roman"/>
          <w:szCs w:val="28"/>
        </w:rPr>
        <w:t xml:space="preserve"> = уровень расчетной бюджетной обеспеченности i-го муниципального района (городского округа) до выравнивания;</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roofErr w:type="spellStart"/>
      <w:r w:rsidRPr="00E73938">
        <w:rPr>
          <w:rFonts w:ascii="Times New Roman" w:hAnsi="Times New Roman"/>
          <w:szCs w:val="28"/>
        </w:rPr>
        <w:t>n</w:t>
      </w:r>
      <w:proofErr w:type="spellEnd"/>
      <w:r w:rsidRPr="00E73938">
        <w:rPr>
          <w:rFonts w:ascii="Times New Roman" w:hAnsi="Times New Roman"/>
          <w:szCs w:val="28"/>
        </w:rPr>
        <w:t xml:space="preserve"> - число муниципальных районов (городских округов) в Республике Татарстан.</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В случае</w:t>
      </w:r>
      <w:proofErr w:type="gramStart"/>
      <w:r w:rsidRPr="00E73938">
        <w:rPr>
          <w:rFonts w:ascii="Times New Roman" w:hAnsi="Times New Roman"/>
          <w:szCs w:val="28"/>
        </w:rPr>
        <w:t>,</w:t>
      </w:r>
      <w:proofErr w:type="gramEnd"/>
      <w:r w:rsidRPr="00E73938">
        <w:rPr>
          <w:rFonts w:ascii="Times New Roman" w:hAnsi="Times New Roman"/>
          <w:szCs w:val="28"/>
        </w:rPr>
        <w:t xml:space="preserve"> если суммарный объем дотаций на выравнивание бюджетной обеспеченности, рассчитанных для муниципальных районов (городских округов) исходя из необходимости достижения ими уровня, установленного в качестве критерия выравнивания расчетной бюджетной обеспеченности муниципальных районов (городских округов), складывается в меньшем размере, чем разница в оценках суммарных потребностей и доходных возможностей муниципальных районов (городских округов), устанавливается повышенный критерий выравнивания расчетной бюджетной обеспеченности муниципальных районов (городских округов).</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Повышенный критерий выравнивания расчетной бюджетной обеспеченности муниципальных районов (городских округов) определяется по формуле: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1371600" cy="295275"/>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1600" cy="295275"/>
                    </a:xfrm>
                    <a:prstGeom prst="rect">
                      <a:avLst/>
                    </a:prstGeom>
                    <a:noFill/>
                    <a:ln>
                      <a:noFill/>
                    </a:ln>
                  </pic:spPr>
                </pic:pic>
              </a:graphicData>
            </a:graphic>
          </wp:inline>
        </w:drawing>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где: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95275" cy="295275"/>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sidRPr="00E73938">
        <w:rPr>
          <w:rFonts w:ascii="Times New Roman" w:hAnsi="Times New Roman"/>
          <w:szCs w:val="28"/>
        </w:rPr>
        <w:t xml:space="preserve"> - повышенный критерий выравнивания расчетной бюджетной обеспеченности муниципальных районов (городских округов);</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roofErr w:type="gramStart"/>
      <w:r w:rsidRPr="00E73938">
        <w:rPr>
          <w:rFonts w:ascii="Times New Roman" w:hAnsi="Times New Roman"/>
          <w:szCs w:val="28"/>
        </w:rPr>
        <w:t>К - критерий выравнивания расчетной бюджетной обеспеченности муниципальных районов (городских округов), рассчитанный в соответствии с настоящим пунктом;</w:t>
      </w:r>
      <w:proofErr w:type="gramEnd"/>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roofErr w:type="spellStart"/>
      <w:r w:rsidRPr="00E73938">
        <w:rPr>
          <w:rFonts w:ascii="Times New Roman" w:hAnsi="Times New Roman"/>
          <w:szCs w:val="28"/>
        </w:rPr>
        <w:t>Коэф</w:t>
      </w:r>
      <w:proofErr w:type="spellEnd"/>
      <w:r w:rsidRPr="00E73938">
        <w:rPr>
          <w:rFonts w:ascii="Times New Roman" w:hAnsi="Times New Roman"/>
          <w:szCs w:val="28"/>
        </w:rPr>
        <w:t xml:space="preserve"> - коэффициент, повышающий уровень критерия выравнивания; </w:t>
      </w:r>
      <w:proofErr w:type="spellStart"/>
      <w:r w:rsidRPr="00E73938">
        <w:rPr>
          <w:rFonts w:ascii="Times New Roman" w:hAnsi="Times New Roman"/>
          <w:szCs w:val="28"/>
        </w:rPr>
        <w:t>Коэф</w:t>
      </w:r>
      <w:proofErr w:type="spellEnd"/>
      <w:r w:rsidRPr="00E73938">
        <w:rPr>
          <w:rFonts w:ascii="Times New Roman" w:hAnsi="Times New Roman"/>
          <w:szCs w:val="28"/>
        </w:rPr>
        <w:t xml:space="preserve"> &gt; 1.</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Значение коэффициента, повышающего уровень критерия выравнивания, определяется ежегодно при составлении проекта бюджета Республики Татарстан на очередной финансовый год и плановый период и утверждается Кабинетом Министров Республики Татарстан.</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lastRenderedPageBreak/>
        <w:t xml:space="preserve">8. Объем средств, недостающих для достижения i-м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 муниципальных районов (городских округов), рассчитывается только по тем муниципальным районам (городским округам), уровень расчетной бюджетной обеспеченности которых меньше критерия выравнивания расчетной бюджетной обеспеченности муниципальных районов (городских округов) </w:t>
      </w:r>
      <w:r w:rsidRPr="00E73938">
        <w:rPr>
          <w:rFonts w:ascii="Times New Roman" w:hAnsi="Times New Roman"/>
          <w:noProof/>
          <w:szCs w:val="28"/>
          <w:lang w:eastAsia="ru-RU"/>
        </w:rPr>
        <w:drawing>
          <wp:inline distT="0" distB="0" distL="0" distR="0">
            <wp:extent cx="1171575" cy="3810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71575" cy="381000"/>
                    </a:xfrm>
                    <a:prstGeom prst="rect">
                      <a:avLst/>
                    </a:prstGeom>
                    <a:noFill/>
                    <a:ln>
                      <a:noFill/>
                    </a:ln>
                  </pic:spPr>
                </pic:pic>
              </a:graphicData>
            </a:graphic>
          </wp:inline>
        </w:drawing>
      </w:r>
      <w:r w:rsidRPr="00E73938">
        <w:rPr>
          <w:rFonts w:ascii="Times New Roman" w:hAnsi="Times New Roman"/>
          <w:szCs w:val="28"/>
        </w:rPr>
        <w:t>.</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9. После распределения первой части дотаций определяется достигнутый уровень расчетной бюджетной обеспеченности муниципальных районов (городских округов), который используется при распределении второй части средств ФФПМР, рассчитываемый по следующей формуле: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9C487A" w:rsidRPr="00E73938" w:rsidRDefault="00567929" w:rsidP="003370CB">
      <w:pPr>
        <w:autoSpaceDE w:val="0"/>
        <w:autoSpaceDN w:val="0"/>
        <w:adjustRightInd w:val="0"/>
        <w:spacing w:line="240" w:lineRule="auto"/>
        <w:ind w:left="567" w:firstLine="0"/>
        <w:jc w:val="both"/>
        <w:rPr>
          <w:rFonts w:ascii="Times New Roman" w:hAnsi="Times New Roman"/>
          <w:szCs w:val="28"/>
        </w:rPr>
      </w:pPr>
      <m:oMathPara>
        <m:oMathParaPr>
          <m:jc m:val="left"/>
        </m:oMathParaPr>
        <m:oMath>
          <m:sSubSup>
            <m:sSubSupPr>
              <m:ctrlPr>
                <w:rPr>
                  <w:rFonts w:ascii="Cambria Math" w:hAnsi="Cambria Math"/>
                  <w:szCs w:val="28"/>
                </w:rPr>
              </m:ctrlPr>
            </m:sSubSupPr>
            <m:e>
              <m:r>
                <m:rPr>
                  <m:sty m:val="p"/>
                </m:rPr>
                <w:rPr>
                  <w:rFonts w:ascii="Cambria Math" w:hAnsi="Cambria Math"/>
                  <w:szCs w:val="28"/>
                </w:rPr>
                <m:t>БО</m:t>
              </m:r>
            </m:e>
            <m:sub>
              <m:r>
                <m:rPr>
                  <m:sty m:val="p"/>
                </m:rPr>
                <w:rPr>
                  <w:rFonts w:ascii="Cambria Math" w:hAnsi="Cambria Math"/>
                  <w:szCs w:val="28"/>
                </w:rPr>
                <m:t>1</m:t>
              </m:r>
            </m:sub>
            <m:sup>
              <m:r>
                <m:rPr>
                  <m:sty m:val="p"/>
                </m:rPr>
                <w:rPr>
                  <w:rFonts w:ascii="Cambria Math" w:hAnsi="Cambria Math"/>
                  <w:szCs w:val="28"/>
                </w:rPr>
                <m:t>i</m:t>
              </m:r>
            </m:sup>
          </m:sSubSup>
          <m:r>
            <m:rPr>
              <m:sty m:val="p"/>
            </m:rPr>
            <w:rPr>
              <w:rFonts w:ascii="Cambria Math" w:hAnsi="Cambria Math"/>
              <w:szCs w:val="28"/>
            </w:rPr>
            <m:t>=</m:t>
          </m:r>
          <m:sSubSup>
            <m:sSubSupPr>
              <m:ctrlPr>
                <w:rPr>
                  <w:rFonts w:ascii="Cambria Math" w:hAnsi="Cambria Math"/>
                  <w:szCs w:val="28"/>
                </w:rPr>
              </m:ctrlPr>
            </m:sSubSupPr>
            <m:e>
              <m:r>
                <m:rPr>
                  <m:sty m:val="p"/>
                </m:rPr>
                <w:rPr>
                  <w:rFonts w:ascii="Cambria Math" w:hAnsi="Cambria Math"/>
                  <w:szCs w:val="28"/>
                </w:rPr>
                <m:t>БО</m:t>
              </m:r>
            </m:e>
            <m:sub>
              <m:r>
                <m:rPr>
                  <m:sty m:val="p"/>
                </m:rPr>
                <w:rPr>
                  <w:rFonts w:ascii="Cambria Math" w:hAnsi="Cambria Math"/>
                  <w:szCs w:val="28"/>
                </w:rPr>
                <m:t>расч</m:t>
              </m:r>
            </m:sub>
            <m:sup>
              <m:r>
                <m:rPr>
                  <m:sty m:val="p"/>
                </m:rPr>
                <w:rPr>
                  <w:rFonts w:ascii="Cambria Math" w:hAnsi="Cambria Math"/>
                  <w:szCs w:val="28"/>
                </w:rPr>
                <m:t>i</m:t>
              </m:r>
            </m:sup>
          </m:sSubSup>
          <m:r>
            <m:rPr>
              <m:sty m:val="p"/>
            </m:rPr>
            <w:rPr>
              <w:rFonts w:ascii="Cambria Math" w:hAnsi="Cambria Math"/>
              <w:szCs w:val="28"/>
            </w:rPr>
            <m:t>+</m:t>
          </m:r>
          <m:f>
            <m:fPr>
              <m:ctrlPr>
                <w:rPr>
                  <w:rFonts w:ascii="Cambria Math" w:hAnsi="Cambria Math"/>
                  <w:szCs w:val="28"/>
                </w:rPr>
              </m:ctrlPr>
            </m:fPr>
            <m:num>
              <m:sSup>
                <m:sSupPr>
                  <m:ctrlPr>
                    <w:rPr>
                      <w:rFonts w:ascii="Cambria Math" w:hAnsi="Cambria Math"/>
                      <w:szCs w:val="28"/>
                    </w:rPr>
                  </m:ctrlPr>
                </m:sSupPr>
                <m:e>
                  <m:r>
                    <m:rPr>
                      <m:sty m:val="p"/>
                    </m:rPr>
                    <w:rPr>
                      <w:rFonts w:ascii="Cambria Math" w:hAnsi="Cambria Math"/>
                      <w:szCs w:val="28"/>
                    </w:rPr>
                    <m:t>Н</m:t>
                  </m:r>
                </m:e>
                <m:sup>
                  <m:r>
                    <m:rPr>
                      <m:sty m:val="p"/>
                    </m:rPr>
                    <w:rPr>
                      <w:rFonts w:ascii="Cambria Math" w:hAnsi="Cambria Math"/>
                      <w:szCs w:val="28"/>
                    </w:rPr>
                    <m:t>i</m:t>
                  </m:r>
                </m:sup>
              </m:sSup>
              <m:r>
                <m:rPr>
                  <m:sty m:val="p"/>
                </m:rPr>
                <w:rPr>
                  <w:rFonts w:ascii="Cambria Math" w:hAnsi="Cambria Math"/>
                  <w:szCs w:val="28"/>
                </w:rPr>
                <m:t>×</m:t>
              </m:r>
              <m:nary>
                <m:naryPr>
                  <m:chr m:val="∑"/>
                  <m:limLoc m:val="undOvr"/>
                  <m:ctrlPr>
                    <w:rPr>
                      <w:rFonts w:ascii="Cambria Math" w:hAnsi="Cambria Math"/>
                      <w:szCs w:val="28"/>
                    </w:rPr>
                  </m:ctrlPr>
                </m:naryPr>
                <m:sub>
                  <m:r>
                    <m:rPr>
                      <m:sty m:val="p"/>
                    </m:rPr>
                    <w:rPr>
                      <w:rFonts w:ascii="Cambria Math" w:hAnsi="Cambria Math"/>
                      <w:szCs w:val="28"/>
                    </w:rPr>
                    <m:t>i=1</m:t>
                  </m:r>
                </m:sub>
                <m:sup>
                  <m:r>
                    <m:rPr>
                      <m:sty m:val="p"/>
                    </m:rPr>
                    <w:rPr>
                      <w:rFonts w:ascii="Cambria Math" w:hAnsi="Cambria Math"/>
                      <w:szCs w:val="28"/>
                    </w:rPr>
                    <m:t>n</m:t>
                  </m:r>
                </m:sup>
                <m:e>
                  <m:sSup>
                    <m:sSupPr>
                      <m:ctrlPr>
                        <w:rPr>
                          <w:rFonts w:ascii="Cambria Math" w:hAnsi="Cambria Math"/>
                          <w:szCs w:val="28"/>
                        </w:rPr>
                      </m:ctrlPr>
                    </m:sSupPr>
                    <m:e>
                      <m:r>
                        <m:rPr>
                          <m:sty m:val="p"/>
                        </m:rPr>
                        <w:rPr>
                          <w:rFonts w:ascii="Cambria Math" w:hAnsi="Cambria Math"/>
                          <w:szCs w:val="28"/>
                        </w:rPr>
                        <m:t>Ч</m:t>
                      </m:r>
                    </m:e>
                    <m:sup>
                      <m:r>
                        <m:rPr>
                          <m:sty m:val="p"/>
                        </m:rPr>
                        <w:rPr>
                          <w:rFonts w:ascii="Cambria Math" w:hAnsi="Cambria Math"/>
                          <w:szCs w:val="28"/>
                        </w:rPr>
                        <m:t>i</m:t>
                      </m:r>
                    </m:sup>
                  </m:sSup>
                </m:e>
              </m:nary>
            </m:num>
            <m:den>
              <m:sSup>
                <m:sSupPr>
                  <m:ctrlPr>
                    <w:rPr>
                      <w:rFonts w:ascii="Cambria Math" w:hAnsi="Cambria Math"/>
                      <w:szCs w:val="28"/>
                    </w:rPr>
                  </m:ctrlPr>
                </m:sSupPr>
                <m:e>
                  <m:r>
                    <m:rPr>
                      <m:sty m:val="p"/>
                    </m:rPr>
                    <w:rPr>
                      <w:rFonts w:ascii="Cambria Math" w:hAnsi="Cambria Math"/>
                      <w:szCs w:val="28"/>
                    </w:rPr>
                    <m:t>ИБР</m:t>
                  </m:r>
                </m:e>
                <m:sup>
                  <m:r>
                    <m:rPr>
                      <m:sty m:val="p"/>
                    </m:rPr>
                    <w:rPr>
                      <w:rFonts w:ascii="Cambria Math" w:hAnsi="Cambria Math"/>
                      <w:szCs w:val="28"/>
                    </w:rPr>
                    <m:t>i</m:t>
                  </m:r>
                </m:sup>
              </m:sSup>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Ч</m:t>
                  </m:r>
                </m:e>
                <m:sup>
                  <m:r>
                    <m:rPr>
                      <m:sty m:val="p"/>
                    </m:rPr>
                    <w:rPr>
                      <w:rFonts w:ascii="Cambria Math" w:hAnsi="Cambria Math"/>
                      <w:szCs w:val="28"/>
                    </w:rPr>
                    <m:t>i</m:t>
                  </m:r>
                </m:sup>
              </m:sSup>
              <m:r>
                <m:rPr>
                  <m:sty m:val="p"/>
                </m:rPr>
                <w:rPr>
                  <w:rFonts w:ascii="Cambria Math" w:hAnsi="Cambria Math"/>
                  <w:szCs w:val="28"/>
                </w:rPr>
                <m:t>×</m:t>
              </m:r>
              <m:nary>
                <m:naryPr>
                  <m:chr m:val="∑"/>
                  <m:limLoc m:val="undOvr"/>
                  <m:ctrlPr>
                    <w:rPr>
                      <w:rFonts w:ascii="Cambria Math" w:hAnsi="Cambria Math"/>
                      <w:szCs w:val="28"/>
                    </w:rPr>
                  </m:ctrlPr>
                </m:naryPr>
                <m:sub>
                  <m:r>
                    <m:rPr>
                      <m:sty m:val="p"/>
                    </m:rPr>
                    <w:rPr>
                      <w:rFonts w:ascii="Cambria Math" w:hAnsi="Cambria Math"/>
                      <w:szCs w:val="28"/>
                    </w:rPr>
                    <m:t>i=1</m:t>
                  </m:r>
                </m:sub>
                <m:sup>
                  <m:r>
                    <m:rPr>
                      <m:sty m:val="p"/>
                    </m:rPr>
                    <w:rPr>
                      <w:rFonts w:ascii="Cambria Math" w:hAnsi="Cambria Math"/>
                      <w:szCs w:val="28"/>
                    </w:rPr>
                    <m:t>n</m:t>
                  </m:r>
                </m:sup>
                <m:e>
                  <m:sSup>
                    <m:sSupPr>
                      <m:ctrlPr>
                        <w:rPr>
                          <w:rFonts w:ascii="Cambria Math" w:hAnsi="Cambria Math"/>
                          <w:szCs w:val="28"/>
                        </w:rPr>
                      </m:ctrlPr>
                    </m:sSupPr>
                    <m:e>
                      <m:r>
                        <m:rPr>
                          <m:sty m:val="p"/>
                        </m:rPr>
                        <w:rPr>
                          <w:rFonts w:ascii="Cambria Math" w:hAnsi="Cambria Math"/>
                          <w:szCs w:val="28"/>
                        </w:rPr>
                        <m:t>УНП</m:t>
                      </m:r>
                    </m:e>
                    <m:sup>
                      <m:r>
                        <m:rPr>
                          <m:sty m:val="p"/>
                        </m:rPr>
                        <w:rPr>
                          <w:rFonts w:ascii="Cambria Math" w:hAnsi="Cambria Math"/>
                          <w:szCs w:val="28"/>
                        </w:rPr>
                        <m:t>i</m:t>
                      </m:r>
                    </m:sup>
                  </m:sSup>
                </m:e>
              </m:nary>
            </m:den>
          </m:f>
          <m:r>
            <m:rPr>
              <m:sty m:val="p"/>
            </m:rPr>
            <w:rPr>
              <w:rFonts w:ascii="Cambria Math" w:hAnsi="Cambria Math"/>
              <w:szCs w:val="28"/>
            </w:rPr>
            <m:t xml:space="preserve">  ,</m:t>
          </m:r>
        </m:oMath>
      </m:oMathPara>
    </w:p>
    <w:p w:rsidR="009C487A" w:rsidRPr="00E73938" w:rsidRDefault="009C487A"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где: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409575" cy="32385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9575" cy="323850"/>
                    </a:xfrm>
                    <a:prstGeom prst="rect">
                      <a:avLst/>
                    </a:prstGeom>
                    <a:noFill/>
                    <a:ln>
                      <a:noFill/>
                    </a:ln>
                  </pic:spPr>
                </pic:pic>
              </a:graphicData>
            </a:graphic>
          </wp:inline>
        </w:drawing>
      </w:r>
      <w:r w:rsidRPr="00E73938">
        <w:rPr>
          <w:rFonts w:ascii="Times New Roman" w:hAnsi="Times New Roman"/>
          <w:szCs w:val="28"/>
        </w:rPr>
        <w:t xml:space="preserve"> - уровень расчетной бюджетной обеспеченности i-го муниципального района (городского округа) после распределения первой части дотаций;</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600075" cy="361950"/>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361950"/>
                    </a:xfrm>
                    <a:prstGeom prst="rect">
                      <a:avLst/>
                    </a:prstGeom>
                    <a:noFill/>
                    <a:ln>
                      <a:noFill/>
                    </a:ln>
                  </pic:spPr>
                </pic:pic>
              </a:graphicData>
            </a:graphic>
          </wp:inline>
        </w:drawing>
      </w:r>
      <w:r w:rsidRPr="00E73938">
        <w:rPr>
          <w:rFonts w:ascii="Times New Roman" w:hAnsi="Times New Roman"/>
          <w:szCs w:val="28"/>
        </w:rPr>
        <w:t xml:space="preserve"> - уровень расчетной бюджетной обеспеченности i-го муниципального района (городского округа) до распределения дотаций;</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85750" cy="26670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5750" cy="266700"/>
                    </a:xfrm>
                    <a:prstGeom prst="rect">
                      <a:avLst/>
                    </a:prstGeom>
                    <a:noFill/>
                    <a:ln>
                      <a:noFill/>
                    </a:ln>
                  </pic:spPr>
                </pic:pic>
              </a:graphicData>
            </a:graphic>
          </wp:inline>
        </w:drawing>
      </w:r>
      <w:r w:rsidRPr="00E73938">
        <w:rPr>
          <w:rFonts w:ascii="Times New Roman" w:hAnsi="Times New Roman"/>
          <w:szCs w:val="28"/>
        </w:rPr>
        <w:t xml:space="preserve"> - объем первой части дотаций </w:t>
      </w:r>
      <w:proofErr w:type="spellStart"/>
      <w:r w:rsidRPr="00E73938">
        <w:rPr>
          <w:rFonts w:ascii="Times New Roman" w:hAnsi="Times New Roman"/>
          <w:szCs w:val="28"/>
        </w:rPr>
        <w:t>i-му</w:t>
      </w:r>
      <w:proofErr w:type="spellEnd"/>
      <w:r w:rsidRPr="00E73938">
        <w:rPr>
          <w:rFonts w:ascii="Times New Roman" w:hAnsi="Times New Roman"/>
          <w:szCs w:val="28"/>
        </w:rPr>
        <w:t xml:space="preserve"> муниципальному району (городскому округу);</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23875" cy="26670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266700"/>
                    </a:xfrm>
                    <a:prstGeom prst="rect">
                      <a:avLst/>
                    </a:prstGeom>
                    <a:noFill/>
                    <a:ln>
                      <a:noFill/>
                    </a:ln>
                  </pic:spPr>
                </pic:pic>
              </a:graphicData>
            </a:graphic>
          </wp:inline>
        </w:drawing>
      </w:r>
      <w:r w:rsidRPr="00E73938">
        <w:rPr>
          <w:rFonts w:ascii="Times New Roman" w:hAnsi="Times New Roman"/>
          <w:szCs w:val="28"/>
        </w:rPr>
        <w:t xml:space="preserve"> - индекс бюджетных расходов i-го муниципального района (городского округа), рассчитываемый в соответствии с порядком, установленным </w:t>
      </w:r>
      <w:hyperlink r:id="rId45" w:history="1">
        <w:r w:rsidRPr="00E73938">
          <w:rPr>
            <w:rFonts w:ascii="Times New Roman" w:hAnsi="Times New Roman"/>
            <w:szCs w:val="28"/>
          </w:rPr>
          <w:t>приложением 6</w:t>
        </w:r>
      </w:hyperlink>
      <w:r w:rsidRPr="00E73938">
        <w:rPr>
          <w:rFonts w:ascii="Times New Roman" w:hAnsi="Times New Roman"/>
          <w:szCs w:val="28"/>
        </w:rPr>
        <w:t xml:space="preserve"> к настоящему Кодексу;</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66700" cy="26670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E73938">
        <w:rPr>
          <w:rFonts w:ascii="Times New Roman" w:hAnsi="Times New Roman"/>
          <w:szCs w:val="28"/>
        </w:rPr>
        <w:t xml:space="preserve"> - численность населения i-го муниципального района (городского округа);</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90550" cy="28575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285750"/>
                    </a:xfrm>
                    <a:prstGeom prst="rect">
                      <a:avLst/>
                    </a:prstGeom>
                    <a:noFill/>
                    <a:ln>
                      <a:noFill/>
                    </a:ln>
                  </pic:spPr>
                </pic:pic>
              </a:graphicData>
            </a:graphic>
          </wp:inline>
        </w:drawing>
      </w:r>
      <w:r w:rsidRPr="00E73938">
        <w:rPr>
          <w:rFonts w:ascii="Times New Roman" w:hAnsi="Times New Roman"/>
          <w:szCs w:val="28"/>
        </w:rPr>
        <w:t xml:space="preserve"> - условный налоговый потенциал i-го муниципального района (городского округа), рассчитываемый в соответствии с порядком, установленным </w:t>
      </w:r>
      <w:hyperlink r:id="rId47" w:history="1">
        <w:r w:rsidRPr="00E73938">
          <w:rPr>
            <w:rFonts w:ascii="Times New Roman" w:hAnsi="Times New Roman"/>
            <w:szCs w:val="28"/>
          </w:rPr>
          <w:t>приложением 7</w:t>
        </w:r>
      </w:hyperlink>
      <w:r w:rsidRPr="00E73938">
        <w:rPr>
          <w:rFonts w:ascii="Times New Roman" w:hAnsi="Times New Roman"/>
          <w:szCs w:val="28"/>
        </w:rPr>
        <w:t xml:space="preserve"> к настоящему Кодексу;</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roofErr w:type="spellStart"/>
      <w:r w:rsidRPr="00E73938">
        <w:rPr>
          <w:rFonts w:ascii="Times New Roman" w:hAnsi="Times New Roman"/>
          <w:szCs w:val="28"/>
        </w:rPr>
        <w:t>n</w:t>
      </w:r>
      <w:proofErr w:type="spellEnd"/>
      <w:r w:rsidRPr="00E73938">
        <w:rPr>
          <w:rFonts w:ascii="Times New Roman" w:hAnsi="Times New Roman"/>
          <w:szCs w:val="28"/>
        </w:rPr>
        <w:t xml:space="preserve"> - число муниципальных районов (городских округов) в Республике Татарстан.</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10. Распределение части дотаций с использованием метода выравнивания до "гарантированного минимума" осуществляется по формуле: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lastRenderedPageBreak/>
        <w:drawing>
          <wp:inline distT="0" distB="0" distL="0" distR="0">
            <wp:extent cx="3505200" cy="117157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05200" cy="1171575"/>
                    </a:xfrm>
                    <a:prstGeom prst="rect">
                      <a:avLst/>
                    </a:prstGeom>
                    <a:noFill/>
                    <a:ln>
                      <a:noFill/>
                    </a:ln>
                  </pic:spPr>
                </pic:pic>
              </a:graphicData>
            </a:graphic>
          </wp:inline>
        </w:drawing>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где: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304800" cy="32385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323850"/>
                    </a:xfrm>
                    <a:prstGeom prst="rect">
                      <a:avLst/>
                    </a:prstGeom>
                    <a:noFill/>
                    <a:ln>
                      <a:noFill/>
                    </a:ln>
                  </pic:spPr>
                </pic:pic>
              </a:graphicData>
            </a:graphic>
          </wp:inline>
        </w:drawing>
      </w:r>
      <w:r w:rsidRPr="00E73938">
        <w:rPr>
          <w:rFonts w:ascii="Times New Roman" w:hAnsi="Times New Roman"/>
          <w:szCs w:val="28"/>
        </w:rPr>
        <w:t xml:space="preserve"> - объем части дотаций </w:t>
      </w:r>
      <w:proofErr w:type="spellStart"/>
      <w:r w:rsidRPr="00E73938">
        <w:rPr>
          <w:rFonts w:ascii="Times New Roman" w:hAnsi="Times New Roman"/>
          <w:szCs w:val="28"/>
        </w:rPr>
        <w:t>i-му</w:t>
      </w:r>
      <w:proofErr w:type="spellEnd"/>
      <w:r w:rsidRPr="00E73938">
        <w:rPr>
          <w:rFonts w:ascii="Times New Roman" w:hAnsi="Times New Roman"/>
          <w:szCs w:val="28"/>
        </w:rPr>
        <w:t xml:space="preserve"> муниципальному району (городскому округу), распределение которой осуществляется методом выравнивания до </w:t>
      </w:r>
      <w:r w:rsidR="00145532">
        <w:rPr>
          <w:rFonts w:ascii="Times New Roman" w:hAnsi="Times New Roman"/>
          <w:szCs w:val="28"/>
        </w:rPr>
        <w:t>«</w:t>
      </w:r>
      <w:r w:rsidRPr="00E73938">
        <w:rPr>
          <w:rFonts w:ascii="Times New Roman" w:hAnsi="Times New Roman"/>
          <w:szCs w:val="28"/>
        </w:rPr>
        <w:t>гарантированного минимума</w:t>
      </w:r>
      <w:r w:rsidR="00145532">
        <w:rPr>
          <w:rFonts w:ascii="Times New Roman" w:hAnsi="Times New Roman"/>
          <w:szCs w:val="28"/>
        </w:rPr>
        <w:t>»</w:t>
      </w:r>
      <w:r w:rsidRPr="00E73938">
        <w:rPr>
          <w:rFonts w:ascii="Times New Roman" w:hAnsi="Times New Roman"/>
          <w:szCs w:val="28"/>
        </w:rPr>
        <w:t>;</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БО - минимальный уровень расчетной бюджетной обеспеченности, до которого осуществляется выравнивание;</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409575" cy="323850"/>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9575" cy="323850"/>
                    </a:xfrm>
                    <a:prstGeom prst="rect">
                      <a:avLst/>
                    </a:prstGeom>
                    <a:noFill/>
                    <a:ln>
                      <a:noFill/>
                    </a:ln>
                  </pic:spPr>
                </pic:pic>
              </a:graphicData>
            </a:graphic>
          </wp:inline>
        </w:drawing>
      </w:r>
      <w:r w:rsidRPr="00E73938">
        <w:rPr>
          <w:rFonts w:ascii="Times New Roman" w:hAnsi="Times New Roman"/>
          <w:szCs w:val="28"/>
        </w:rPr>
        <w:t xml:space="preserve"> - уровень расчетной бюджетной обеспеченности i-го муниципального района (городского округа) после распределения первой части дотаций;</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23875" cy="26670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266700"/>
                    </a:xfrm>
                    <a:prstGeom prst="rect">
                      <a:avLst/>
                    </a:prstGeom>
                    <a:noFill/>
                    <a:ln>
                      <a:noFill/>
                    </a:ln>
                  </pic:spPr>
                </pic:pic>
              </a:graphicData>
            </a:graphic>
          </wp:inline>
        </w:drawing>
      </w:r>
      <w:r w:rsidRPr="00E73938">
        <w:rPr>
          <w:rFonts w:ascii="Times New Roman" w:hAnsi="Times New Roman"/>
          <w:szCs w:val="28"/>
        </w:rPr>
        <w:t xml:space="preserve"> - индекс бюджетных расходов i-го муниципального района (городского округа), рассчитываемый в соответствии с порядком, установленным </w:t>
      </w:r>
      <w:hyperlink r:id="rId52" w:history="1">
        <w:r w:rsidRPr="00E73938">
          <w:rPr>
            <w:rFonts w:ascii="Times New Roman" w:hAnsi="Times New Roman"/>
            <w:szCs w:val="28"/>
          </w:rPr>
          <w:t>приложением 6</w:t>
        </w:r>
      </w:hyperlink>
      <w:r w:rsidRPr="00E73938">
        <w:rPr>
          <w:rFonts w:ascii="Times New Roman" w:hAnsi="Times New Roman"/>
          <w:szCs w:val="28"/>
        </w:rPr>
        <w:t xml:space="preserve"> к настоящему Кодексу;</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66700" cy="266700"/>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E73938">
        <w:rPr>
          <w:rFonts w:ascii="Times New Roman" w:hAnsi="Times New Roman"/>
          <w:szCs w:val="28"/>
        </w:rPr>
        <w:t xml:space="preserve"> - численность населения i-го муниципального района (городского округа);</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90550" cy="285750"/>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285750"/>
                    </a:xfrm>
                    <a:prstGeom prst="rect">
                      <a:avLst/>
                    </a:prstGeom>
                    <a:noFill/>
                    <a:ln>
                      <a:noFill/>
                    </a:ln>
                  </pic:spPr>
                </pic:pic>
              </a:graphicData>
            </a:graphic>
          </wp:inline>
        </w:drawing>
      </w:r>
      <w:r w:rsidRPr="00E73938">
        <w:rPr>
          <w:rFonts w:ascii="Times New Roman" w:hAnsi="Times New Roman"/>
          <w:szCs w:val="28"/>
        </w:rPr>
        <w:t xml:space="preserve"> - условный налоговый потенциал i-го муниципального района (городского округа), рассчитываемый в соответствии с порядком, установленным </w:t>
      </w:r>
      <w:hyperlink r:id="rId53" w:history="1">
        <w:r w:rsidRPr="00E73938">
          <w:rPr>
            <w:rFonts w:ascii="Times New Roman" w:hAnsi="Times New Roman"/>
            <w:szCs w:val="28"/>
          </w:rPr>
          <w:t>приложением 7</w:t>
        </w:r>
      </w:hyperlink>
      <w:r w:rsidRPr="00E73938">
        <w:rPr>
          <w:rFonts w:ascii="Times New Roman" w:hAnsi="Times New Roman"/>
          <w:szCs w:val="28"/>
        </w:rPr>
        <w:t xml:space="preserve"> к настоящему Кодексу;</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roofErr w:type="spellStart"/>
      <w:r w:rsidRPr="00E73938">
        <w:rPr>
          <w:rFonts w:ascii="Times New Roman" w:hAnsi="Times New Roman"/>
          <w:szCs w:val="28"/>
        </w:rPr>
        <w:t>n</w:t>
      </w:r>
      <w:proofErr w:type="spellEnd"/>
      <w:r w:rsidRPr="00E73938">
        <w:rPr>
          <w:rFonts w:ascii="Times New Roman" w:hAnsi="Times New Roman"/>
          <w:szCs w:val="28"/>
        </w:rPr>
        <w:t xml:space="preserve"> - число муниципальных районов (городских округов) в Республике Татарстан.</w:t>
      </w:r>
    </w:p>
    <w:p w:rsidR="00655770" w:rsidRPr="00E73938" w:rsidRDefault="00655770" w:rsidP="003370CB">
      <w:pPr>
        <w:autoSpaceDE w:val="0"/>
        <w:autoSpaceDN w:val="0"/>
        <w:adjustRightInd w:val="0"/>
        <w:spacing w:line="240" w:lineRule="auto"/>
        <w:ind w:firstLine="567"/>
        <w:jc w:val="both"/>
        <w:rPr>
          <w:rFonts w:ascii="Times New Roman" w:hAnsi="Times New Roman"/>
          <w:szCs w:val="28"/>
        </w:rPr>
      </w:pPr>
    </w:p>
    <w:p w:rsidR="00A65121" w:rsidRPr="00E73938" w:rsidRDefault="00A65121" w:rsidP="003370CB">
      <w:pPr>
        <w:spacing w:line="240" w:lineRule="auto"/>
        <w:ind w:firstLine="0"/>
        <w:jc w:val="both"/>
        <w:rPr>
          <w:rFonts w:ascii="Times New Roman" w:eastAsiaTheme="minorHAnsi" w:hAnsi="Times New Roman"/>
          <w:bCs/>
          <w:szCs w:val="28"/>
        </w:rPr>
      </w:pPr>
      <w:r w:rsidRPr="00E73938">
        <w:rPr>
          <w:rFonts w:ascii="Times New Roman" w:hAnsi="Times New Roman"/>
          <w:bCs/>
          <w:szCs w:val="28"/>
        </w:rPr>
        <w:br w:type="page"/>
      </w:r>
    </w:p>
    <w:p w:rsidR="00A65121" w:rsidRPr="00145532" w:rsidRDefault="00A65121" w:rsidP="003370CB">
      <w:pPr>
        <w:autoSpaceDE w:val="0"/>
        <w:autoSpaceDN w:val="0"/>
        <w:adjustRightInd w:val="0"/>
        <w:spacing w:line="240" w:lineRule="auto"/>
        <w:ind w:firstLine="0"/>
        <w:jc w:val="right"/>
        <w:outlineLvl w:val="0"/>
        <w:rPr>
          <w:rFonts w:ascii="Times New Roman" w:eastAsiaTheme="minorHAnsi" w:hAnsi="Times New Roman"/>
          <w:sz w:val="24"/>
          <w:szCs w:val="24"/>
        </w:rPr>
      </w:pPr>
      <w:r w:rsidRPr="00145532">
        <w:rPr>
          <w:rFonts w:ascii="Times New Roman" w:eastAsiaTheme="minorHAnsi" w:hAnsi="Times New Roman"/>
          <w:sz w:val="24"/>
          <w:szCs w:val="24"/>
        </w:rPr>
        <w:lastRenderedPageBreak/>
        <w:t>Приложение 2.1</w:t>
      </w:r>
    </w:p>
    <w:p w:rsidR="00A65121" w:rsidRPr="00145532" w:rsidRDefault="00A65121" w:rsidP="003370CB">
      <w:pPr>
        <w:autoSpaceDE w:val="0"/>
        <w:autoSpaceDN w:val="0"/>
        <w:adjustRightInd w:val="0"/>
        <w:spacing w:line="240" w:lineRule="auto"/>
        <w:ind w:firstLine="0"/>
        <w:jc w:val="right"/>
        <w:rPr>
          <w:rFonts w:ascii="Times New Roman" w:eastAsiaTheme="minorHAnsi" w:hAnsi="Times New Roman"/>
          <w:sz w:val="24"/>
          <w:szCs w:val="24"/>
        </w:rPr>
      </w:pPr>
      <w:r w:rsidRPr="00145532">
        <w:rPr>
          <w:rFonts w:ascii="Times New Roman" w:eastAsiaTheme="minorHAnsi" w:hAnsi="Times New Roman"/>
          <w:sz w:val="24"/>
          <w:szCs w:val="24"/>
        </w:rPr>
        <w:t>к Бюджетному кодексу</w:t>
      </w:r>
    </w:p>
    <w:p w:rsidR="00A65121" w:rsidRPr="00145532" w:rsidRDefault="00A65121" w:rsidP="003370CB">
      <w:pPr>
        <w:autoSpaceDE w:val="0"/>
        <w:autoSpaceDN w:val="0"/>
        <w:adjustRightInd w:val="0"/>
        <w:spacing w:line="240" w:lineRule="auto"/>
        <w:ind w:firstLine="0"/>
        <w:jc w:val="right"/>
        <w:rPr>
          <w:rFonts w:ascii="Times New Roman" w:eastAsiaTheme="minorHAnsi" w:hAnsi="Times New Roman"/>
          <w:sz w:val="24"/>
          <w:szCs w:val="24"/>
        </w:rPr>
      </w:pPr>
      <w:r w:rsidRPr="00145532">
        <w:rPr>
          <w:rFonts w:ascii="Times New Roman" w:eastAsiaTheme="minorHAnsi" w:hAnsi="Times New Roman"/>
          <w:sz w:val="24"/>
          <w:szCs w:val="24"/>
        </w:rPr>
        <w:t>Республики Татарстан</w:t>
      </w:r>
    </w:p>
    <w:p w:rsidR="00A65121" w:rsidRPr="00E73938" w:rsidRDefault="00A65121" w:rsidP="003370CB">
      <w:pPr>
        <w:autoSpaceDE w:val="0"/>
        <w:autoSpaceDN w:val="0"/>
        <w:adjustRightInd w:val="0"/>
        <w:spacing w:line="240" w:lineRule="auto"/>
        <w:ind w:firstLine="0"/>
        <w:jc w:val="both"/>
        <w:rPr>
          <w:rFonts w:ascii="Times New Roman" w:eastAsiaTheme="minorHAnsi" w:hAnsi="Times New Roman"/>
          <w:szCs w:val="28"/>
        </w:rPr>
      </w:pPr>
    </w:p>
    <w:p w:rsidR="00A65121" w:rsidRPr="00E73938" w:rsidRDefault="00A65121" w:rsidP="003370CB">
      <w:pPr>
        <w:autoSpaceDE w:val="0"/>
        <w:autoSpaceDN w:val="0"/>
        <w:adjustRightInd w:val="0"/>
        <w:spacing w:line="240" w:lineRule="auto"/>
        <w:ind w:firstLine="0"/>
        <w:jc w:val="center"/>
        <w:rPr>
          <w:rFonts w:ascii="Times New Roman" w:eastAsiaTheme="minorHAnsi" w:hAnsi="Times New Roman"/>
          <w:bCs/>
          <w:szCs w:val="28"/>
        </w:rPr>
      </w:pPr>
      <w:r w:rsidRPr="00E73938">
        <w:rPr>
          <w:rFonts w:ascii="Times New Roman" w:eastAsiaTheme="minorHAnsi" w:hAnsi="Times New Roman"/>
          <w:bCs/>
          <w:szCs w:val="28"/>
        </w:rPr>
        <w:t>МЕТОДИКА</w:t>
      </w:r>
    </w:p>
    <w:p w:rsidR="00A65121" w:rsidRPr="00E73938" w:rsidRDefault="00A65121" w:rsidP="003370CB">
      <w:pPr>
        <w:autoSpaceDE w:val="0"/>
        <w:autoSpaceDN w:val="0"/>
        <w:adjustRightInd w:val="0"/>
        <w:spacing w:line="240" w:lineRule="auto"/>
        <w:ind w:firstLine="0"/>
        <w:jc w:val="center"/>
        <w:rPr>
          <w:rFonts w:ascii="Times New Roman" w:eastAsiaTheme="minorHAnsi" w:hAnsi="Times New Roman"/>
          <w:bCs/>
          <w:szCs w:val="28"/>
        </w:rPr>
      </w:pPr>
      <w:r w:rsidRPr="00E73938">
        <w:rPr>
          <w:rFonts w:ascii="Times New Roman" w:eastAsiaTheme="minorHAnsi" w:hAnsi="Times New Roman"/>
          <w:bCs/>
          <w:szCs w:val="28"/>
        </w:rPr>
        <w:t xml:space="preserve">ОБРАЗОВАНИЯ И РАСПРЕДЕЛЕНИЯ ЧАСТИ ДОТАЦИЙ </w:t>
      </w:r>
    </w:p>
    <w:p w:rsidR="00A65121" w:rsidRPr="00E73938" w:rsidRDefault="00A65121" w:rsidP="003370CB">
      <w:pPr>
        <w:autoSpaceDE w:val="0"/>
        <w:autoSpaceDN w:val="0"/>
        <w:adjustRightInd w:val="0"/>
        <w:spacing w:line="240" w:lineRule="auto"/>
        <w:ind w:firstLine="0"/>
        <w:jc w:val="center"/>
        <w:rPr>
          <w:rFonts w:ascii="Times New Roman" w:eastAsiaTheme="minorHAnsi" w:hAnsi="Times New Roman"/>
          <w:bCs/>
          <w:szCs w:val="28"/>
        </w:rPr>
      </w:pPr>
      <w:r w:rsidRPr="00E73938">
        <w:rPr>
          <w:rFonts w:ascii="Times New Roman" w:eastAsiaTheme="minorHAnsi" w:hAnsi="Times New Roman"/>
          <w:bCs/>
          <w:szCs w:val="28"/>
        </w:rPr>
        <w:t xml:space="preserve">НА ВЫРАВНИВАНИЕ БЮДЖЕТНОЙ ОБЕСПЕЧЕННОСТИ МУНИЦИПАЛЬНЫХ РАЙОНОВ (ГОРОДСКИХ ОКРУГОВ) </w:t>
      </w:r>
    </w:p>
    <w:p w:rsidR="00A65121" w:rsidRPr="00E73938" w:rsidRDefault="00A65121" w:rsidP="003370CB">
      <w:pPr>
        <w:autoSpaceDE w:val="0"/>
        <w:autoSpaceDN w:val="0"/>
        <w:adjustRightInd w:val="0"/>
        <w:spacing w:line="240" w:lineRule="auto"/>
        <w:ind w:firstLine="0"/>
        <w:jc w:val="center"/>
        <w:rPr>
          <w:rFonts w:ascii="Times New Roman" w:eastAsiaTheme="minorHAnsi" w:hAnsi="Times New Roman"/>
          <w:bCs/>
          <w:szCs w:val="28"/>
        </w:rPr>
      </w:pPr>
      <w:r w:rsidRPr="00E73938">
        <w:rPr>
          <w:rFonts w:ascii="Times New Roman" w:eastAsiaTheme="minorHAnsi" w:hAnsi="Times New Roman"/>
          <w:bCs/>
          <w:szCs w:val="28"/>
        </w:rPr>
        <w:t>ИСХОДЯ ИЗ ЧИСЛЕННОСТИ ЖИТЕЛЕЙ</w:t>
      </w:r>
    </w:p>
    <w:p w:rsidR="00A65121" w:rsidRPr="00E73938" w:rsidRDefault="00A65121" w:rsidP="003370CB">
      <w:pPr>
        <w:autoSpaceDE w:val="0"/>
        <w:autoSpaceDN w:val="0"/>
        <w:adjustRightInd w:val="0"/>
        <w:spacing w:line="240" w:lineRule="auto"/>
        <w:ind w:firstLine="567"/>
        <w:jc w:val="both"/>
        <w:rPr>
          <w:rFonts w:ascii="Times New Roman" w:hAnsi="Times New Roman"/>
          <w:szCs w:val="28"/>
        </w:rPr>
      </w:pP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1. Часть дотаций на выравнивание бюджетной обеспеченности муниципальных районов (городских округов) исходя из численности жителей муниципального района (городского округа) в расчете на одного жителя выделяется в составе бюджета Республики Татарстан в целях выравнивания доступа граждан к основным бюджетным услугам и социальным гарантиям, финансируемым из бюджетов муниципальных районов (городских округов).</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2. Общий объем дотаций на выравнивание бюджетной обеспеченности муниципальных районов (городских округов) исходя из численности жителей муниципального района (городского округа) рассчитывается следующим образом:</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1524000" cy="333375"/>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0" cy="333375"/>
                    </a:xfrm>
                    <a:prstGeom prst="rect">
                      <a:avLst/>
                    </a:prstGeom>
                    <a:noFill/>
                    <a:ln>
                      <a:noFill/>
                    </a:ln>
                  </pic:spPr>
                </pic:pic>
              </a:graphicData>
            </a:graphic>
          </wp:inline>
        </w:drawing>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где:</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409575" cy="323850"/>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9575" cy="323850"/>
                    </a:xfrm>
                    <a:prstGeom prst="rect">
                      <a:avLst/>
                    </a:prstGeom>
                    <a:noFill/>
                    <a:ln>
                      <a:noFill/>
                    </a:ln>
                  </pic:spPr>
                </pic:pic>
              </a:graphicData>
            </a:graphic>
          </wp:inline>
        </w:drawing>
      </w:r>
      <w:r w:rsidRPr="00E73938">
        <w:rPr>
          <w:rFonts w:ascii="Times New Roman" w:hAnsi="Times New Roman"/>
          <w:szCs w:val="28"/>
        </w:rPr>
        <w:t xml:space="preserve"> - объем сре</w:t>
      </w:r>
      <w:proofErr w:type="gramStart"/>
      <w:r w:rsidRPr="00E73938">
        <w:rPr>
          <w:rFonts w:ascii="Times New Roman" w:hAnsi="Times New Roman"/>
          <w:szCs w:val="28"/>
        </w:rPr>
        <w:t>дств дл</w:t>
      </w:r>
      <w:proofErr w:type="gramEnd"/>
      <w:r w:rsidRPr="00E73938">
        <w:rPr>
          <w:rFonts w:ascii="Times New Roman" w:hAnsi="Times New Roman"/>
          <w:szCs w:val="28"/>
        </w:rPr>
        <w:t>я предоставления дотаций на выравнивание бюджетной обеспеченности муниципальных районов (городских округов) исходя из численности жителей;</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361950" cy="333375"/>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1950" cy="333375"/>
                    </a:xfrm>
                    <a:prstGeom prst="rect">
                      <a:avLst/>
                    </a:prstGeom>
                    <a:noFill/>
                    <a:ln>
                      <a:noFill/>
                    </a:ln>
                  </pic:spPr>
                </pic:pic>
              </a:graphicData>
            </a:graphic>
          </wp:inline>
        </w:drawing>
      </w:r>
      <w:r w:rsidRPr="00E73938">
        <w:rPr>
          <w:rFonts w:ascii="Times New Roman" w:hAnsi="Times New Roman"/>
          <w:szCs w:val="28"/>
        </w:rPr>
        <w:t xml:space="preserve"> - объем средств для предоставления </w:t>
      </w:r>
      <w:proofErr w:type="gramStart"/>
      <w:r w:rsidRPr="00E73938">
        <w:rPr>
          <w:rFonts w:ascii="Times New Roman" w:hAnsi="Times New Roman"/>
          <w:szCs w:val="28"/>
        </w:rPr>
        <w:t>дотаций</w:t>
      </w:r>
      <w:proofErr w:type="gramEnd"/>
      <w:r w:rsidRPr="00E73938">
        <w:rPr>
          <w:rFonts w:ascii="Times New Roman" w:hAnsi="Times New Roman"/>
          <w:szCs w:val="28"/>
        </w:rPr>
        <w:t xml:space="preserve"> на выравнивание бюджетной обеспеченности муниципальных районов исходя из численности жителей муниципального района;</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333375" cy="323850"/>
            <wp:effectExtent l="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3375" cy="323850"/>
                    </a:xfrm>
                    <a:prstGeom prst="rect">
                      <a:avLst/>
                    </a:prstGeom>
                    <a:noFill/>
                    <a:ln>
                      <a:noFill/>
                    </a:ln>
                  </pic:spPr>
                </pic:pic>
              </a:graphicData>
            </a:graphic>
          </wp:inline>
        </w:drawing>
      </w:r>
      <w:r w:rsidRPr="00E73938">
        <w:rPr>
          <w:rFonts w:ascii="Times New Roman" w:hAnsi="Times New Roman"/>
          <w:szCs w:val="28"/>
        </w:rPr>
        <w:t xml:space="preserve"> - объем средств для предоставления </w:t>
      </w:r>
      <w:proofErr w:type="gramStart"/>
      <w:r w:rsidRPr="00E73938">
        <w:rPr>
          <w:rFonts w:ascii="Times New Roman" w:hAnsi="Times New Roman"/>
          <w:szCs w:val="28"/>
        </w:rPr>
        <w:t>дотаций</w:t>
      </w:r>
      <w:proofErr w:type="gramEnd"/>
      <w:r w:rsidRPr="00E73938">
        <w:rPr>
          <w:rFonts w:ascii="Times New Roman" w:hAnsi="Times New Roman"/>
          <w:szCs w:val="28"/>
        </w:rPr>
        <w:t xml:space="preserve"> на выравнивание бюджетной обеспеченности городских округов исходя из численности жителей городского округа.</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 xml:space="preserve">Соотношение между </w:t>
      </w:r>
      <w:r w:rsidRPr="00E73938">
        <w:rPr>
          <w:rFonts w:ascii="Times New Roman" w:hAnsi="Times New Roman"/>
          <w:noProof/>
          <w:szCs w:val="28"/>
          <w:lang w:eastAsia="ru-RU"/>
        </w:rPr>
        <w:drawing>
          <wp:inline distT="0" distB="0" distL="0" distR="0">
            <wp:extent cx="361950" cy="333375"/>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1950" cy="333375"/>
                    </a:xfrm>
                    <a:prstGeom prst="rect">
                      <a:avLst/>
                    </a:prstGeom>
                    <a:noFill/>
                    <a:ln>
                      <a:noFill/>
                    </a:ln>
                  </pic:spPr>
                </pic:pic>
              </a:graphicData>
            </a:graphic>
          </wp:inline>
        </w:drawing>
      </w:r>
      <w:r w:rsidRPr="00E73938">
        <w:rPr>
          <w:rFonts w:ascii="Times New Roman" w:hAnsi="Times New Roman"/>
          <w:szCs w:val="28"/>
        </w:rPr>
        <w:t xml:space="preserve"> и </w:t>
      </w:r>
      <w:r w:rsidRPr="00E73938">
        <w:rPr>
          <w:rFonts w:ascii="Times New Roman" w:hAnsi="Times New Roman"/>
          <w:noProof/>
          <w:szCs w:val="28"/>
          <w:lang w:eastAsia="ru-RU"/>
        </w:rPr>
        <w:drawing>
          <wp:inline distT="0" distB="0" distL="0" distR="0">
            <wp:extent cx="333375" cy="323850"/>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3375" cy="323850"/>
                    </a:xfrm>
                    <a:prstGeom prst="rect">
                      <a:avLst/>
                    </a:prstGeom>
                    <a:noFill/>
                    <a:ln>
                      <a:noFill/>
                    </a:ln>
                  </pic:spPr>
                </pic:pic>
              </a:graphicData>
            </a:graphic>
          </wp:inline>
        </w:drawing>
      </w:r>
      <w:r w:rsidRPr="00E73938">
        <w:rPr>
          <w:rFonts w:ascii="Times New Roman" w:hAnsi="Times New Roman"/>
          <w:szCs w:val="28"/>
        </w:rPr>
        <w:t xml:space="preserve"> определяется ежегодно при составлении бюджета Республики Татарстан на очередной финансовый год и плановый </w:t>
      </w:r>
      <w:proofErr w:type="gramStart"/>
      <w:r w:rsidRPr="00E73938">
        <w:rPr>
          <w:rFonts w:ascii="Times New Roman" w:hAnsi="Times New Roman"/>
          <w:szCs w:val="28"/>
        </w:rPr>
        <w:t>период</w:t>
      </w:r>
      <w:proofErr w:type="gramEnd"/>
      <w:r w:rsidRPr="00E73938">
        <w:rPr>
          <w:rFonts w:ascii="Times New Roman" w:hAnsi="Times New Roman"/>
          <w:szCs w:val="28"/>
        </w:rPr>
        <w:t xml:space="preserve"> исходя из доходных возможностей бюджета Республики Татарстан и расходных потребностей бюджетов муниципальных районов и городских округов, а также соотношения прогнозного суммарного дефицита консолидированных бюджетов муниципальных районов и городских округов.</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lastRenderedPageBreak/>
        <w:t>3. Порядок расчета дотаций на выравнивание бюджетной обеспеченности муниципальных районов (городских округов) муниципальному району исходя из численности жителей муниципального района:</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1857375" cy="942975"/>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57375" cy="942975"/>
                    </a:xfrm>
                    <a:prstGeom prst="rect">
                      <a:avLst/>
                    </a:prstGeom>
                    <a:noFill/>
                    <a:ln>
                      <a:noFill/>
                    </a:ln>
                  </pic:spPr>
                </pic:pic>
              </a:graphicData>
            </a:graphic>
          </wp:inline>
        </w:drawing>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где:</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42925" cy="36195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361950"/>
                    </a:xfrm>
                    <a:prstGeom prst="rect">
                      <a:avLst/>
                    </a:prstGeom>
                    <a:noFill/>
                    <a:ln>
                      <a:noFill/>
                    </a:ln>
                  </pic:spPr>
                </pic:pic>
              </a:graphicData>
            </a:graphic>
          </wp:inline>
        </w:drawing>
      </w:r>
      <w:r w:rsidRPr="00E73938">
        <w:rPr>
          <w:rFonts w:ascii="Times New Roman" w:hAnsi="Times New Roman"/>
          <w:szCs w:val="28"/>
        </w:rPr>
        <w:t xml:space="preserve"> - объем дотаций на выравнивание бюджетной обеспеченности муниципальных районов (городских округов) </w:t>
      </w:r>
      <w:proofErr w:type="spellStart"/>
      <w:r w:rsidRPr="00E73938">
        <w:rPr>
          <w:rFonts w:ascii="Times New Roman" w:hAnsi="Times New Roman"/>
          <w:szCs w:val="28"/>
        </w:rPr>
        <w:t>j-му</w:t>
      </w:r>
      <w:proofErr w:type="spellEnd"/>
      <w:r w:rsidRPr="00E73938">
        <w:rPr>
          <w:rFonts w:ascii="Times New Roman" w:hAnsi="Times New Roman"/>
          <w:szCs w:val="28"/>
        </w:rPr>
        <w:t xml:space="preserve"> муниципальному району исходя из численности жителей муниципального района;</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66700" cy="266700"/>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E73938">
        <w:rPr>
          <w:rFonts w:ascii="Times New Roman" w:hAnsi="Times New Roman"/>
          <w:szCs w:val="28"/>
        </w:rPr>
        <w:t xml:space="preserve"> - численность населения j-го муниципального района;</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proofErr w:type="spellStart"/>
      <w:r w:rsidRPr="00E73938">
        <w:rPr>
          <w:rFonts w:ascii="Times New Roman" w:hAnsi="Times New Roman"/>
          <w:szCs w:val="28"/>
        </w:rPr>
        <w:t>n</w:t>
      </w:r>
      <w:proofErr w:type="spellEnd"/>
      <w:r w:rsidRPr="00E73938">
        <w:rPr>
          <w:rFonts w:ascii="Times New Roman" w:hAnsi="Times New Roman"/>
          <w:szCs w:val="28"/>
        </w:rPr>
        <w:t xml:space="preserve"> - количество муниципальных районов, имеющих право на получение дотаций на выравнивание бюджетной обеспеченности муниципальных районов (городских округов) исходя из численности жителей муниципального района.</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4. Порядок расчета дотаций на выравнивание бюджетной обеспеченности муниципальных районов (городских округов) городскому округу исходя из численности жителей городского округа:</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1771650" cy="942975"/>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71650" cy="942975"/>
                    </a:xfrm>
                    <a:prstGeom prst="rect">
                      <a:avLst/>
                    </a:prstGeom>
                    <a:noFill/>
                    <a:ln>
                      <a:noFill/>
                    </a:ln>
                  </pic:spPr>
                </pic:pic>
              </a:graphicData>
            </a:graphic>
          </wp:inline>
        </w:drawing>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szCs w:val="28"/>
        </w:rPr>
        <w:t>где:</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523875" cy="33337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333375"/>
                    </a:xfrm>
                    <a:prstGeom prst="rect">
                      <a:avLst/>
                    </a:prstGeom>
                    <a:noFill/>
                    <a:ln>
                      <a:noFill/>
                    </a:ln>
                  </pic:spPr>
                </pic:pic>
              </a:graphicData>
            </a:graphic>
          </wp:inline>
        </w:drawing>
      </w:r>
      <w:r w:rsidRPr="00E73938">
        <w:rPr>
          <w:rFonts w:ascii="Times New Roman" w:hAnsi="Times New Roman"/>
          <w:szCs w:val="28"/>
        </w:rPr>
        <w:t xml:space="preserve"> - объем дотаций на выравнивание бюджетной обеспеченности муниципальных районов (городских округов) </w:t>
      </w:r>
      <w:proofErr w:type="spellStart"/>
      <w:r w:rsidRPr="00E73938">
        <w:rPr>
          <w:rFonts w:ascii="Times New Roman" w:hAnsi="Times New Roman"/>
          <w:szCs w:val="28"/>
        </w:rPr>
        <w:t>j-му</w:t>
      </w:r>
      <w:proofErr w:type="spellEnd"/>
      <w:r w:rsidRPr="00E73938">
        <w:rPr>
          <w:rFonts w:ascii="Times New Roman" w:hAnsi="Times New Roman"/>
          <w:szCs w:val="28"/>
        </w:rPr>
        <w:t xml:space="preserve"> городскому округу исходя из численности жителей городского округа;</w:t>
      </w:r>
    </w:p>
    <w:p w:rsidR="00943435" w:rsidRPr="00E73938" w:rsidRDefault="00943435" w:rsidP="003370CB">
      <w:pPr>
        <w:autoSpaceDE w:val="0"/>
        <w:autoSpaceDN w:val="0"/>
        <w:adjustRightInd w:val="0"/>
        <w:spacing w:line="240" w:lineRule="auto"/>
        <w:ind w:firstLine="567"/>
        <w:jc w:val="both"/>
        <w:rPr>
          <w:rFonts w:ascii="Times New Roman" w:hAnsi="Times New Roman"/>
          <w:szCs w:val="28"/>
        </w:rPr>
      </w:pPr>
      <w:r w:rsidRPr="00E73938">
        <w:rPr>
          <w:rFonts w:ascii="Times New Roman" w:hAnsi="Times New Roman"/>
          <w:noProof/>
          <w:szCs w:val="28"/>
          <w:lang w:eastAsia="ru-RU"/>
        </w:rPr>
        <w:drawing>
          <wp:inline distT="0" distB="0" distL="0" distR="0">
            <wp:extent cx="266700" cy="266700"/>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E73938">
        <w:rPr>
          <w:rFonts w:ascii="Times New Roman" w:hAnsi="Times New Roman"/>
          <w:szCs w:val="28"/>
        </w:rPr>
        <w:t xml:space="preserve"> - численность населения j-го городского округа;</w:t>
      </w:r>
    </w:p>
    <w:p w:rsidR="00943435" w:rsidRDefault="00943435" w:rsidP="003370CB">
      <w:pPr>
        <w:autoSpaceDE w:val="0"/>
        <w:autoSpaceDN w:val="0"/>
        <w:adjustRightInd w:val="0"/>
        <w:spacing w:line="240" w:lineRule="auto"/>
        <w:ind w:firstLine="567"/>
        <w:jc w:val="both"/>
        <w:rPr>
          <w:rFonts w:ascii="Times New Roman" w:hAnsi="Times New Roman"/>
          <w:szCs w:val="28"/>
        </w:rPr>
      </w:pPr>
      <w:proofErr w:type="spellStart"/>
      <w:r w:rsidRPr="00E73938">
        <w:rPr>
          <w:rFonts w:ascii="Times New Roman" w:hAnsi="Times New Roman"/>
          <w:szCs w:val="28"/>
        </w:rPr>
        <w:t>n</w:t>
      </w:r>
      <w:proofErr w:type="spellEnd"/>
      <w:r w:rsidRPr="00E73938">
        <w:rPr>
          <w:rFonts w:ascii="Times New Roman" w:hAnsi="Times New Roman"/>
          <w:szCs w:val="28"/>
        </w:rPr>
        <w:t xml:space="preserve"> - количество городских округов, имеющих право на получение дотаций на выравнивание бюджетной обеспеченности муниципальных районов (городских округов) исходя из численности жителей городского округа.</w:t>
      </w:r>
    </w:p>
    <w:p w:rsidR="008E6F63" w:rsidRDefault="008E6F63" w:rsidP="003370CB">
      <w:pPr>
        <w:autoSpaceDE w:val="0"/>
        <w:autoSpaceDN w:val="0"/>
        <w:adjustRightInd w:val="0"/>
        <w:spacing w:line="240" w:lineRule="auto"/>
        <w:ind w:firstLine="567"/>
        <w:jc w:val="both"/>
        <w:rPr>
          <w:rFonts w:ascii="Times New Roman" w:hAnsi="Times New Roman"/>
          <w:szCs w:val="28"/>
        </w:rPr>
      </w:pPr>
    </w:p>
    <w:p w:rsidR="008E6F63" w:rsidRDefault="008E6F63" w:rsidP="003370CB">
      <w:pPr>
        <w:autoSpaceDE w:val="0"/>
        <w:autoSpaceDN w:val="0"/>
        <w:adjustRightInd w:val="0"/>
        <w:spacing w:line="240" w:lineRule="auto"/>
        <w:ind w:firstLine="567"/>
        <w:jc w:val="both"/>
        <w:rPr>
          <w:rFonts w:ascii="Times New Roman" w:hAnsi="Times New Roman"/>
          <w:szCs w:val="28"/>
        </w:rPr>
      </w:pPr>
    </w:p>
    <w:p w:rsidR="008E6F63" w:rsidRDefault="008E6F63" w:rsidP="003370CB">
      <w:pPr>
        <w:autoSpaceDE w:val="0"/>
        <w:autoSpaceDN w:val="0"/>
        <w:adjustRightInd w:val="0"/>
        <w:spacing w:line="240" w:lineRule="auto"/>
        <w:ind w:firstLine="567"/>
        <w:jc w:val="both"/>
        <w:rPr>
          <w:rFonts w:ascii="Times New Roman" w:hAnsi="Times New Roman"/>
          <w:szCs w:val="28"/>
        </w:rPr>
      </w:pPr>
    </w:p>
    <w:p w:rsidR="0006358B" w:rsidRDefault="0006358B" w:rsidP="003370CB">
      <w:pPr>
        <w:autoSpaceDE w:val="0"/>
        <w:autoSpaceDN w:val="0"/>
        <w:adjustRightInd w:val="0"/>
        <w:spacing w:line="240" w:lineRule="auto"/>
        <w:ind w:firstLine="567"/>
        <w:jc w:val="both"/>
        <w:rPr>
          <w:rFonts w:ascii="Times New Roman" w:hAnsi="Times New Roman"/>
          <w:szCs w:val="28"/>
        </w:rPr>
      </w:pPr>
    </w:p>
    <w:p w:rsidR="0006358B" w:rsidRDefault="0006358B" w:rsidP="003370CB">
      <w:pPr>
        <w:autoSpaceDE w:val="0"/>
        <w:autoSpaceDN w:val="0"/>
        <w:adjustRightInd w:val="0"/>
        <w:spacing w:line="240" w:lineRule="auto"/>
        <w:ind w:firstLine="567"/>
        <w:jc w:val="both"/>
        <w:rPr>
          <w:rFonts w:ascii="Times New Roman" w:hAnsi="Times New Roman"/>
          <w:szCs w:val="28"/>
        </w:rPr>
      </w:pPr>
    </w:p>
    <w:p w:rsidR="0006358B" w:rsidRDefault="0006358B" w:rsidP="003370CB">
      <w:pPr>
        <w:autoSpaceDE w:val="0"/>
        <w:autoSpaceDN w:val="0"/>
        <w:adjustRightInd w:val="0"/>
        <w:spacing w:line="240" w:lineRule="auto"/>
        <w:ind w:firstLine="567"/>
        <w:jc w:val="both"/>
        <w:rPr>
          <w:rFonts w:ascii="Times New Roman" w:hAnsi="Times New Roman"/>
          <w:szCs w:val="28"/>
        </w:rPr>
      </w:pPr>
    </w:p>
    <w:p w:rsidR="008E6F63" w:rsidRDefault="008E6F63" w:rsidP="003370CB">
      <w:pPr>
        <w:autoSpaceDE w:val="0"/>
        <w:autoSpaceDN w:val="0"/>
        <w:adjustRightInd w:val="0"/>
        <w:spacing w:line="240" w:lineRule="auto"/>
        <w:ind w:firstLine="567"/>
        <w:jc w:val="both"/>
        <w:rPr>
          <w:rFonts w:ascii="Times New Roman" w:hAnsi="Times New Roman"/>
          <w:szCs w:val="28"/>
        </w:rPr>
      </w:pPr>
    </w:p>
    <w:p w:rsidR="008E6F63" w:rsidRPr="00F01D84" w:rsidRDefault="008E6F63" w:rsidP="008E6F63">
      <w:pPr>
        <w:autoSpaceDE w:val="0"/>
        <w:autoSpaceDN w:val="0"/>
        <w:adjustRightInd w:val="0"/>
        <w:spacing w:line="240" w:lineRule="auto"/>
        <w:jc w:val="right"/>
        <w:outlineLvl w:val="0"/>
        <w:rPr>
          <w:rFonts w:ascii="Times New Roman" w:hAnsi="Times New Roman"/>
          <w:szCs w:val="28"/>
        </w:rPr>
      </w:pPr>
      <w:r w:rsidRPr="00F01D84">
        <w:rPr>
          <w:rFonts w:ascii="Times New Roman" w:hAnsi="Times New Roman"/>
          <w:szCs w:val="28"/>
        </w:rPr>
        <w:lastRenderedPageBreak/>
        <w:t>Приложение 1</w:t>
      </w:r>
    </w:p>
    <w:p w:rsidR="008E6F63" w:rsidRPr="00F01D84" w:rsidRDefault="008E6F63" w:rsidP="008E6F63">
      <w:pPr>
        <w:autoSpaceDE w:val="0"/>
        <w:autoSpaceDN w:val="0"/>
        <w:adjustRightInd w:val="0"/>
        <w:spacing w:line="240" w:lineRule="auto"/>
        <w:jc w:val="right"/>
        <w:rPr>
          <w:rFonts w:ascii="Times New Roman" w:hAnsi="Times New Roman"/>
          <w:szCs w:val="28"/>
        </w:rPr>
      </w:pPr>
      <w:r w:rsidRPr="00F01D84">
        <w:rPr>
          <w:rFonts w:ascii="Times New Roman" w:hAnsi="Times New Roman"/>
          <w:szCs w:val="28"/>
        </w:rPr>
        <w:t>к Бюджетному кодексу</w:t>
      </w:r>
    </w:p>
    <w:p w:rsidR="008E6F63" w:rsidRPr="00F01D84" w:rsidRDefault="008E6F63" w:rsidP="008E6F63">
      <w:pPr>
        <w:autoSpaceDE w:val="0"/>
        <w:autoSpaceDN w:val="0"/>
        <w:adjustRightInd w:val="0"/>
        <w:spacing w:line="240" w:lineRule="auto"/>
        <w:jc w:val="right"/>
        <w:rPr>
          <w:rFonts w:ascii="Times New Roman" w:hAnsi="Times New Roman"/>
          <w:szCs w:val="28"/>
        </w:rPr>
      </w:pPr>
      <w:r w:rsidRPr="00F01D84">
        <w:rPr>
          <w:rFonts w:ascii="Times New Roman" w:hAnsi="Times New Roman"/>
          <w:szCs w:val="28"/>
        </w:rPr>
        <w:t>Республики Татарстан</w:t>
      </w:r>
    </w:p>
    <w:p w:rsidR="008E6F63" w:rsidRPr="00F01D84" w:rsidRDefault="008E6F63" w:rsidP="008E6F63">
      <w:pPr>
        <w:autoSpaceDE w:val="0"/>
        <w:autoSpaceDN w:val="0"/>
        <w:adjustRightInd w:val="0"/>
        <w:spacing w:line="240" w:lineRule="auto"/>
        <w:jc w:val="both"/>
        <w:rPr>
          <w:rFonts w:ascii="Times New Roman" w:hAnsi="Times New Roman"/>
          <w:szCs w:val="28"/>
        </w:rPr>
      </w:pPr>
    </w:p>
    <w:p w:rsidR="008E6F63" w:rsidRPr="00F01D84" w:rsidRDefault="008E6F63" w:rsidP="008E6F63">
      <w:pPr>
        <w:autoSpaceDE w:val="0"/>
        <w:autoSpaceDN w:val="0"/>
        <w:adjustRightInd w:val="0"/>
        <w:spacing w:line="240" w:lineRule="auto"/>
        <w:jc w:val="center"/>
        <w:rPr>
          <w:rFonts w:ascii="Times New Roman" w:hAnsi="Times New Roman"/>
          <w:b/>
          <w:bCs/>
          <w:szCs w:val="28"/>
        </w:rPr>
      </w:pPr>
      <w:r w:rsidRPr="00F01D84">
        <w:rPr>
          <w:rFonts w:ascii="Times New Roman" w:hAnsi="Times New Roman"/>
          <w:b/>
          <w:bCs/>
          <w:szCs w:val="28"/>
        </w:rPr>
        <w:t>ПОРЯДОК</w:t>
      </w:r>
    </w:p>
    <w:p w:rsidR="008E6F63" w:rsidRPr="00F01D84" w:rsidRDefault="008E6F63" w:rsidP="008E6F63">
      <w:pPr>
        <w:autoSpaceDE w:val="0"/>
        <w:autoSpaceDN w:val="0"/>
        <w:adjustRightInd w:val="0"/>
        <w:spacing w:line="240" w:lineRule="auto"/>
        <w:jc w:val="center"/>
        <w:rPr>
          <w:rFonts w:ascii="Times New Roman" w:hAnsi="Times New Roman"/>
          <w:b/>
          <w:bCs/>
          <w:szCs w:val="28"/>
        </w:rPr>
      </w:pPr>
      <w:r w:rsidRPr="00F01D84">
        <w:rPr>
          <w:rFonts w:ascii="Times New Roman" w:hAnsi="Times New Roman"/>
          <w:b/>
          <w:bCs/>
          <w:szCs w:val="28"/>
        </w:rPr>
        <w:t>РАСЧЕТА ДОПОЛНИТЕЛЬНЫХ НОРМАТИВОВ</w:t>
      </w:r>
    </w:p>
    <w:p w:rsidR="008E6F63" w:rsidRPr="00F01D84" w:rsidRDefault="008E6F63" w:rsidP="008E6F63">
      <w:pPr>
        <w:autoSpaceDE w:val="0"/>
        <w:autoSpaceDN w:val="0"/>
        <w:adjustRightInd w:val="0"/>
        <w:spacing w:line="240" w:lineRule="auto"/>
        <w:jc w:val="center"/>
        <w:rPr>
          <w:rFonts w:ascii="Times New Roman" w:hAnsi="Times New Roman"/>
          <w:b/>
          <w:bCs/>
          <w:szCs w:val="28"/>
        </w:rPr>
      </w:pPr>
      <w:r w:rsidRPr="00F01D84">
        <w:rPr>
          <w:rFonts w:ascii="Times New Roman" w:hAnsi="Times New Roman"/>
          <w:b/>
          <w:bCs/>
          <w:szCs w:val="28"/>
        </w:rPr>
        <w:t>ОТЧИСЛЕНИЙ ОТ НАЛОГА НА ДОХОДЫ ФИЗИЧЕСКИХ ЛИЦ</w:t>
      </w:r>
    </w:p>
    <w:p w:rsidR="008E6F63" w:rsidRPr="00F01D84" w:rsidRDefault="008E6F63" w:rsidP="008E6F63">
      <w:pPr>
        <w:autoSpaceDE w:val="0"/>
        <w:autoSpaceDN w:val="0"/>
        <w:adjustRightInd w:val="0"/>
        <w:spacing w:line="240" w:lineRule="auto"/>
        <w:jc w:val="both"/>
        <w:rPr>
          <w:rFonts w:ascii="Times New Roman" w:hAnsi="Times New Roman"/>
          <w:szCs w:val="28"/>
        </w:rPr>
      </w:pPr>
    </w:p>
    <w:p w:rsidR="008E6F63" w:rsidRPr="00F01D84" w:rsidRDefault="008E6F63" w:rsidP="008E6F63">
      <w:pPr>
        <w:autoSpaceDE w:val="0"/>
        <w:autoSpaceDN w:val="0"/>
        <w:adjustRightInd w:val="0"/>
        <w:spacing w:line="240" w:lineRule="auto"/>
        <w:ind w:firstLine="540"/>
        <w:jc w:val="both"/>
        <w:rPr>
          <w:rFonts w:ascii="Times New Roman" w:hAnsi="Times New Roman"/>
          <w:szCs w:val="28"/>
        </w:rPr>
      </w:pPr>
      <w:r w:rsidRPr="00F01D84">
        <w:rPr>
          <w:rFonts w:ascii="Times New Roman" w:hAnsi="Times New Roman"/>
          <w:szCs w:val="28"/>
        </w:rPr>
        <w:t>1. Дополнительный норматив отчислений от налога на доходы физических лиц рассчитывается как отношение расчетного объема дотации (части расчетного объема дотации) к прогнозируемому в соответствии с единой методикой объему налога на доходы физических лиц, подлежащему зачислению в консолидированный бюджет Республики Татарстан по территории соответствующего муниципального образования:</w:t>
      </w:r>
    </w:p>
    <w:p w:rsidR="008E6F63" w:rsidRPr="00F01D84" w:rsidRDefault="008E6F63" w:rsidP="008E6F63">
      <w:pPr>
        <w:autoSpaceDE w:val="0"/>
        <w:autoSpaceDN w:val="0"/>
        <w:adjustRightInd w:val="0"/>
        <w:spacing w:line="240" w:lineRule="auto"/>
        <w:jc w:val="both"/>
        <w:rPr>
          <w:rFonts w:ascii="Times New Roman" w:hAnsi="Times New Roman"/>
          <w:szCs w:val="28"/>
        </w:rPr>
      </w:pPr>
    </w:p>
    <w:p w:rsidR="008E6F63" w:rsidRPr="00F01D84" w:rsidRDefault="008E6F63" w:rsidP="008E6F63">
      <w:pPr>
        <w:autoSpaceDE w:val="0"/>
        <w:autoSpaceDN w:val="0"/>
        <w:adjustRightInd w:val="0"/>
        <w:spacing w:line="240" w:lineRule="auto"/>
        <w:ind w:firstLine="540"/>
        <w:jc w:val="both"/>
        <w:rPr>
          <w:rFonts w:ascii="Times New Roman" w:hAnsi="Times New Roman"/>
          <w:szCs w:val="28"/>
        </w:rPr>
      </w:pPr>
      <w:r w:rsidRPr="00F01D84">
        <w:rPr>
          <w:rFonts w:ascii="Times New Roman" w:hAnsi="Times New Roman"/>
          <w:noProof/>
          <w:position w:val="-35"/>
          <w:szCs w:val="28"/>
          <w:lang w:eastAsia="ru-RU"/>
        </w:rPr>
        <w:drawing>
          <wp:inline distT="0" distB="0" distL="0" distR="0">
            <wp:extent cx="2121535" cy="62928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21535" cy="629285"/>
                    </a:xfrm>
                    <a:prstGeom prst="rect">
                      <a:avLst/>
                    </a:prstGeom>
                    <a:noFill/>
                    <a:ln>
                      <a:noFill/>
                    </a:ln>
                  </pic:spPr>
                </pic:pic>
              </a:graphicData>
            </a:graphic>
          </wp:inline>
        </w:drawing>
      </w:r>
    </w:p>
    <w:p w:rsidR="008E6F63" w:rsidRPr="00F01D84" w:rsidRDefault="008E6F63" w:rsidP="008E6F63">
      <w:pPr>
        <w:autoSpaceDE w:val="0"/>
        <w:autoSpaceDN w:val="0"/>
        <w:adjustRightInd w:val="0"/>
        <w:spacing w:line="240" w:lineRule="auto"/>
        <w:jc w:val="both"/>
        <w:rPr>
          <w:rFonts w:ascii="Times New Roman" w:hAnsi="Times New Roman"/>
          <w:szCs w:val="28"/>
        </w:rPr>
      </w:pPr>
    </w:p>
    <w:p w:rsidR="008E6F63" w:rsidRPr="00F01D84" w:rsidRDefault="008E6F63" w:rsidP="008E6F63">
      <w:pPr>
        <w:autoSpaceDE w:val="0"/>
        <w:autoSpaceDN w:val="0"/>
        <w:adjustRightInd w:val="0"/>
        <w:spacing w:line="240" w:lineRule="auto"/>
        <w:ind w:firstLine="540"/>
        <w:jc w:val="both"/>
        <w:rPr>
          <w:rFonts w:ascii="Times New Roman" w:hAnsi="Times New Roman"/>
          <w:szCs w:val="28"/>
        </w:rPr>
      </w:pPr>
      <w:r w:rsidRPr="00F01D84">
        <w:rPr>
          <w:rFonts w:ascii="Times New Roman" w:hAnsi="Times New Roman"/>
          <w:szCs w:val="28"/>
        </w:rPr>
        <w:t>где:</w:t>
      </w:r>
    </w:p>
    <w:p w:rsidR="008E6F63" w:rsidRPr="00F01D84" w:rsidRDefault="008E6F63" w:rsidP="008E6F63">
      <w:pPr>
        <w:autoSpaceDE w:val="0"/>
        <w:autoSpaceDN w:val="0"/>
        <w:adjustRightInd w:val="0"/>
        <w:spacing w:before="280" w:line="240" w:lineRule="auto"/>
        <w:ind w:firstLine="540"/>
        <w:jc w:val="both"/>
        <w:rPr>
          <w:rFonts w:ascii="Times New Roman" w:hAnsi="Times New Roman"/>
          <w:szCs w:val="28"/>
        </w:rPr>
      </w:pPr>
      <w:r w:rsidRPr="00F01D84">
        <w:rPr>
          <w:rFonts w:ascii="Times New Roman" w:hAnsi="Times New Roman"/>
          <w:noProof/>
          <w:position w:val="-14"/>
          <w:szCs w:val="28"/>
          <w:lang w:eastAsia="ru-RU"/>
        </w:rPr>
        <w:drawing>
          <wp:inline distT="0" distB="0" distL="0" distR="0">
            <wp:extent cx="490220" cy="365760"/>
            <wp:effectExtent l="0" t="0" r="508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0220" cy="365760"/>
                    </a:xfrm>
                    <a:prstGeom prst="rect">
                      <a:avLst/>
                    </a:prstGeom>
                    <a:noFill/>
                    <a:ln>
                      <a:noFill/>
                    </a:ln>
                  </pic:spPr>
                </pic:pic>
              </a:graphicData>
            </a:graphic>
          </wp:inline>
        </w:drawing>
      </w:r>
      <w:r w:rsidRPr="00F01D84">
        <w:rPr>
          <w:rFonts w:ascii="Times New Roman" w:hAnsi="Times New Roman"/>
          <w:szCs w:val="28"/>
        </w:rPr>
        <w:t xml:space="preserve"> - расчетное значение дополнительного норматива от налога на доходы физических лиц для i-го муниципального образования;</w:t>
      </w:r>
    </w:p>
    <w:p w:rsidR="008E6F63" w:rsidRPr="00F01D84" w:rsidRDefault="008E6F63" w:rsidP="008E6F63">
      <w:pPr>
        <w:autoSpaceDE w:val="0"/>
        <w:autoSpaceDN w:val="0"/>
        <w:adjustRightInd w:val="0"/>
        <w:spacing w:before="280" w:line="240" w:lineRule="auto"/>
        <w:ind w:firstLine="540"/>
        <w:jc w:val="both"/>
        <w:rPr>
          <w:rFonts w:ascii="Times New Roman" w:hAnsi="Times New Roman"/>
          <w:szCs w:val="28"/>
        </w:rPr>
      </w:pPr>
      <w:r w:rsidRPr="00F01D84">
        <w:rPr>
          <w:rFonts w:ascii="Times New Roman" w:hAnsi="Times New Roman"/>
          <w:noProof/>
          <w:position w:val="-11"/>
          <w:szCs w:val="28"/>
          <w:lang w:eastAsia="ru-RU"/>
        </w:rPr>
        <w:drawing>
          <wp:inline distT="0" distB="0" distL="0" distR="0">
            <wp:extent cx="373380" cy="321945"/>
            <wp:effectExtent l="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3380" cy="321945"/>
                    </a:xfrm>
                    <a:prstGeom prst="rect">
                      <a:avLst/>
                    </a:prstGeom>
                    <a:noFill/>
                    <a:ln>
                      <a:noFill/>
                    </a:ln>
                  </pic:spPr>
                </pic:pic>
              </a:graphicData>
            </a:graphic>
          </wp:inline>
        </w:drawing>
      </w:r>
      <w:r w:rsidRPr="00F01D84">
        <w:rPr>
          <w:rFonts w:ascii="Times New Roman" w:hAnsi="Times New Roman"/>
          <w:szCs w:val="28"/>
        </w:rPr>
        <w:t xml:space="preserve"> - расчетный - планируемый объем дотации (часть расчетного объема дотации) из бюджета Республики Татарстан бюджету i-го муниципального образования;</w:t>
      </w:r>
    </w:p>
    <w:p w:rsidR="008E6F63" w:rsidRPr="00F01D84" w:rsidRDefault="008E6F63" w:rsidP="008E6F63">
      <w:pPr>
        <w:autoSpaceDE w:val="0"/>
        <w:autoSpaceDN w:val="0"/>
        <w:adjustRightInd w:val="0"/>
        <w:spacing w:before="280" w:line="240" w:lineRule="auto"/>
        <w:ind w:firstLine="540"/>
        <w:jc w:val="both"/>
        <w:rPr>
          <w:rFonts w:ascii="Times New Roman" w:hAnsi="Times New Roman"/>
          <w:szCs w:val="28"/>
        </w:rPr>
      </w:pPr>
      <w:proofErr w:type="spellStart"/>
      <w:r w:rsidRPr="00F01D84">
        <w:rPr>
          <w:rFonts w:ascii="Times New Roman" w:hAnsi="Times New Roman"/>
          <w:szCs w:val="28"/>
        </w:rPr>
        <w:t>НДФЛ</w:t>
      </w:r>
      <w:proofErr w:type="gramStart"/>
      <w:r w:rsidRPr="00F01D84">
        <w:rPr>
          <w:rFonts w:ascii="Times New Roman" w:hAnsi="Times New Roman"/>
          <w:szCs w:val="28"/>
          <w:vertAlign w:val="superscript"/>
        </w:rPr>
        <w:t>i</w:t>
      </w:r>
      <w:proofErr w:type="spellEnd"/>
      <w:proofErr w:type="gramEnd"/>
      <w:r w:rsidRPr="00F01D84">
        <w:rPr>
          <w:rFonts w:ascii="Times New Roman" w:hAnsi="Times New Roman"/>
          <w:szCs w:val="28"/>
        </w:rPr>
        <w:t xml:space="preserve"> - прогнозируемый на очередной финансовый год объем налога на доходы физических лиц в консолидированный бюджет Республики Татарстан по </w:t>
      </w:r>
      <w:proofErr w:type="spellStart"/>
      <w:r w:rsidRPr="00F01D84">
        <w:rPr>
          <w:rFonts w:ascii="Times New Roman" w:hAnsi="Times New Roman"/>
          <w:szCs w:val="28"/>
        </w:rPr>
        <w:t>i-му</w:t>
      </w:r>
      <w:proofErr w:type="spellEnd"/>
      <w:r w:rsidRPr="00F01D84">
        <w:rPr>
          <w:rFonts w:ascii="Times New Roman" w:hAnsi="Times New Roman"/>
          <w:szCs w:val="28"/>
        </w:rPr>
        <w:t xml:space="preserve"> муниципальному образованию.</w:t>
      </w:r>
    </w:p>
    <w:p w:rsidR="008E6F63" w:rsidRPr="00F01D84" w:rsidRDefault="008E6F63" w:rsidP="008E6F63">
      <w:pPr>
        <w:autoSpaceDE w:val="0"/>
        <w:autoSpaceDN w:val="0"/>
        <w:adjustRightInd w:val="0"/>
        <w:spacing w:before="280" w:line="240" w:lineRule="auto"/>
        <w:ind w:firstLine="540"/>
        <w:jc w:val="both"/>
        <w:rPr>
          <w:rFonts w:ascii="Times New Roman" w:hAnsi="Times New Roman"/>
          <w:szCs w:val="28"/>
        </w:rPr>
      </w:pPr>
      <w:proofErr w:type="gramStart"/>
      <w:r w:rsidRPr="00F01D84">
        <w:rPr>
          <w:rFonts w:ascii="Times New Roman" w:hAnsi="Times New Roman"/>
          <w:szCs w:val="28"/>
        </w:rPr>
        <w:t>К дополнительному нормативу отчислений от налога на доходы физических лиц, рассчитываемому в соответствии с настоящим пунктом, в части суммы налога на доходы физических лиц, превышающей 650 тысяч рублей, относящейся к части налоговой базы, превышающей 5 миллионов рублей, применяется коэффициент соответствия, определяемый как соотношение нормативов, установленных абзацами пятьдесят четвертым и четвертым пункта 2 статьи 56 Бюджетного кодекса Российской Федерации для зачисления</w:t>
      </w:r>
      <w:proofErr w:type="gramEnd"/>
      <w:r w:rsidRPr="00F01D84">
        <w:rPr>
          <w:rFonts w:ascii="Times New Roman" w:hAnsi="Times New Roman"/>
          <w:szCs w:val="28"/>
        </w:rPr>
        <w:t xml:space="preserve"> в бюджеты субъектов Российской Федерации доходов от налога на доходы физических лиц, и </w:t>
      </w:r>
      <w:proofErr w:type="gramStart"/>
      <w:r w:rsidRPr="00F01D84">
        <w:rPr>
          <w:rFonts w:ascii="Times New Roman" w:hAnsi="Times New Roman"/>
          <w:szCs w:val="28"/>
        </w:rPr>
        <w:t>принимаемый</w:t>
      </w:r>
      <w:proofErr w:type="gramEnd"/>
      <w:r w:rsidRPr="00F01D84">
        <w:rPr>
          <w:rFonts w:ascii="Times New Roman" w:hAnsi="Times New Roman"/>
          <w:szCs w:val="28"/>
        </w:rPr>
        <w:t xml:space="preserve"> равным 0,870588.</w:t>
      </w:r>
    </w:p>
    <w:p w:rsidR="008E6F63" w:rsidRPr="00F01D84" w:rsidRDefault="008E6F63" w:rsidP="008E6F63">
      <w:pPr>
        <w:autoSpaceDE w:val="0"/>
        <w:autoSpaceDN w:val="0"/>
        <w:adjustRightInd w:val="0"/>
        <w:spacing w:before="280" w:line="240" w:lineRule="auto"/>
        <w:ind w:firstLine="540"/>
        <w:jc w:val="both"/>
        <w:rPr>
          <w:rFonts w:ascii="Times New Roman" w:hAnsi="Times New Roman"/>
          <w:szCs w:val="28"/>
        </w:rPr>
      </w:pPr>
      <w:r w:rsidRPr="00F01D84">
        <w:rPr>
          <w:rFonts w:ascii="Times New Roman" w:hAnsi="Times New Roman"/>
          <w:szCs w:val="28"/>
        </w:rPr>
        <w:lastRenderedPageBreak/>
        <w:t>1.1. Дополнительный норматив отчислений от налога на доходы физических лиц рассчитывается с точностью до четвертого знака после запятой.</w:t>
      </w:r>
    </w:p>
    <w:p w:rsidR="008E6F63" w:rsidRPr="00F01D84" w:rsidRDefault="008E6F63" w:rsidP="008E6F63">
      <w:pPr>
        <w:autoSpaceDE w:val="0"/>
        <w:autoSpaceDN w:val="0"/>
        <w:adjustRightInd w:val="0"/>
        <w:spacing w:before="280" w:line="240" w:lineRule="auto"/>
        <w:ind w:firstLine="540"/>
        <w:jc w:val="both"/>
        <w:rPr>
          <w:rFonts w:ascii="Times New Roman" w:hAnsi="Times New Roman"/>
          <w:szCs w:val="28"/>
        </w:rPr>
      </w:pPr>
      <w:r w:rsidRPr="00F01D84">
        <w:rPr>
          <w:rFonts w:ascii="Times New Roman" w:hAnsi="Times New Roman"/>
          <w:szCs w:val="28"/>
        </w:rPr>
        <w:t xml:space="preserve">2. </w:t>
      </w:r>
      <w:proofErr w:type="gramStart"/>
      <w:r w:rsidRPr="00F01D84">
        <w:rPr>
          <w:rFonts w:ascii="Times New Roman" w:hAnsi="Times New Roman"/>
          <w:szCs w:val="28"/>
        </w:rPr>
        <w:t>Если расчетное значение дополнительного норматива отчислений от налога на доходы физических лиц превышает норматив, установленный абзацем четвертым пункта 2 статьи 56 Бюджетного кодекса Российской Федерации для зачисления в бюджеты субъектов Российской Федерации доходов от налога на доходы физических лиц, в качестве дополнительного норматива отчислений от налога на доходы физических лиц устанавливается норматив, установленный абзацем четвертым пункта 2 статьи 56 Бюджетного</w:t>
      </w:r>
      <w:proofErr w:type="gramEnd"/>
      <w:r w:rsidRPr="00F01D84">
        <w:rPr>
          <w:rFonts w:ascii="Times New Roman" w:hAnsi="Times New Roman"/>
          <w:szCs w:val="28"/>
        </w:rPr>
        <w:t xml:space="preserve"> кодекса Российской Федерации для зачисления в бюджеты субъектов Российской Федерации доходов от налога на доходы физических лиц, и предоставляется дотация из бюджета Республики Татарстан бюджету муниципального образования, объем которой определяется по формуле:</w:t>
      </w:r>
    </w:p>
    <w:p w:rsidR="008E6F63" w:rsidRPr="00F01D84" w:rsidRDefault="008E6F63" w:rsidP="008E6F63">
      <w:pPr>
        <w:autoSpaceDE w:val="0"/>
        <w:autoSpaceDN w:val="0"/>
        <w:adjustRightInd w:val="0"/>
        <w:spacing w:line="240" w:lineRule="auto"/>
        <w:jc w:val="both"/>
        <w:rPr>
          <w:rFonts w:ascii="Times New Roman" w:hAnsi="Times New Roman"/>
          <w:szCs w:val="28"/>
        </w:rPr>
      </w:pPr>
    </w:p>
    <w:p w:rsidR="008E6F63" w:rsidRPr="00F01D84" w:rsidRDefault="008E6F63" w:rsidP="008E6F63">
      <w:pPr>
        <w:autoSpaceDE w:val="0"/>
        <w:autoSpaceDN w:val="0"/>
        <w:adjustRightInd w:val="0"/>
        <w:spacing w:line="240" w:lineRule="auto"/>
        <w:jc w:val="center"/>
        <w:rPr>
          <w:rFonts w:ascii="Times New Roman" w:hAnsi="Times New Roman"/>
          <w:szCs w:val="28"/>
        </w:rPr>
      </w:pPr>
      <w:r w:rsidRPr="00F01D84">
        <w:rPr>
          <w:rFonts w:ascii="Times New Roman" w:hAnsi="Times New Roman"/>
          <w:noProof/>
          <w:position w:val="-28"/>
          <w:szCs w:val="28"/>
          <w:lang w:eastAsia="ru-RU"/>
        </w:rPr>
        <w:drawing>
          <wp:inline distT="0" distB="0" distL="0" distR="0">
            <wp:extent cx="2136140" cy="5410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6140" cy="541020"/>
                    </a:xfrm>
                    <a:prstGeom prst="rect">
                      <a:avLst/>
                    </a:prstGeom>
                    <a:noFill/>
                    <a:ln>
                      <a:noFill/>
                    </a:ln>
                  </pic:spPr>
                </pic:pic>
              </a:graphicData>
            </a:graphic>
          </wp:inline>
        </w:drawing>
      </w:r>
      <w:r w:rsidRPr="00F01D84">
        <w:rPr>
          <w:rFonts w:ascii="Times New Roman" w:hAnsi="Times New Roman"/>
          <w:szCs w:val="28"/>
        </w:rPr>
        <w:t>,</w:t>
      </w:r>
    </w:p>
    <w:p w:rsidR="008E6F63" w:rsidRPr="00F01D84" w:rsidRDefault="008E6F63" w:rsidP="008E6F63">
      <w:pPr>
        <w:autoSpaceDE w:val="0"/>
        <w:autoSpaceDN w:val="0"/>
        <w:adjustRightInd w:val="0"/>
        <w:spacing w:line="240" w:lineRule="auto"/>
        <w:jc w:val="both"/>
        <w:rPr>
          <w:rFonts w:ascii="Times New Roman" w:hAnsi="Times New Roman"/>
          <w:szCs w:val="28"/>
        </w:rPr>
      </w:pPr>
    </w:p>
    <w:p w:rsidR="008E6F63" w:rsidRPr="00F01D84" w:rsidRDefault="008E6F63" w:rsidP="008E6F63">
      <w:pPr>
        <w:autoSpaceDE w:val="0"/>
        <w:autoSpaceDN w:val="0"/>
        <w:adjustRightInd w:val="0"/>
        <w:spacing w:line="240" w:lineRule="auto"/>
        <w:ind w:firstLine="540"/>
        <w:jc w:val="both"/>
        <w:rPr>
          <w:rFonts w:ascii="Times New Roman" w:hAnsi="Times New Roman"/>
          <w:szCs w:val="28"/>
        </w:rPr>
      </w:pPr>
      <w:r w:rsidRPr="00F01D84">
        <w:rPr>
          <w:rFonts w:ascii="Times New Roman" w:hAnsi="Times New Roman"/>
          <w:szCs w:val="28"/>
        </w:rPr>
        <w:t>где:</w:t>
      </w:r>
    </w:p>
    <w:p w:rsidR="008E6F63" w:rsidRPr="00F01D84" w:rsidRDefault="008E6F63" w:rsidP="008E6F63">
      <w:pPr>
        <w:autoSpaceDE w:val="0"/>
        <w:autoSpaceDN w:val="0"/>
        <w:adjustRightInd w:val="0"/>
        <w:spacing w:before="280" w:line="240" w:lineRule="auto"/>
        <w:ind w:firstLine="540"/>
        <w:jc w:val="both"/>
        <w:rPr>
          <w:rFonts w:ascii="Times New Roman" w:hAnsi="Times New Roman"/>
          <w:szCs w:val="28"/>
        </w:rPr>
      </w:pPr>
      <w:r w:rsidRPr="00F01D84">
        <w:rPr>
          <w:rFonts w:ascii="Times New Roman" w:hAnsi="Times New Roman"/>
          <w:noProof/>
          <w:position w:val="-11"/>
          <w:szCs w:val="28"/>
          <w:lang w:eastAsia="ru-RU"/>
        </w:rPr>
        <w:drawing>
          <wp:inline distT="0" distB="0" distL="0" distR="0">
            <wp:extent cx="263525" cy="321945"/>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3525" cy="321945"/>
                    </a:xfrm>
                    <a:prstGeom prst="rect">
                      <a:avLst/>
                    </a:prstGeom>
                    <a:noFill/>
                    <a:ln>
                      <a:noFill/>
                    </a:ln>
                  </pic:spPr>
                </pic:pic>
              </a:graphicData>
            </a:graphic>
          </wp:inline>
        </w:drawing>
      </w:r>
      <w:r w:rsidRPr="00F01D84">
        <w:rPr>
          <w:rFonts w:ascii="Times New Roman" w:hAnsi="Times New Roman"/>
          <w:szCs w:val="28"/>
        </w:rPr>
        <w:t xml:space="preserve"> - объем дотации из бюджета Республики Татарстан бюджету i-го муниципального образования с учетом установления дополнительного норматива отчислений от налога на доходы физических лиц;</w:t>
      </w:r>
    </w:p>
    <w:p w:rsidR="008E6F63" w:rsidRPr="00F01D84" w:rsidRDefault="008E6F63" w:rsidP="008E6F63">
      <w:pPr>
        <w:autoSpaceDE w:val="0"/>
        <w:autoSpaceDN w:val="0"/>
        <w:adjustRightInd w:val="0"/>
        <w:spacing w:before="280" w:line="240" w:lineRule="auto"/>
        <w:ind w:firstLine="540"/>
        <w:jc w:val="both"/>
        <w:rPr>
          <w:rFonts w:ascii="Times New Roman" w:hAnsi="Times New Roman"/>
          <w:szCs w:val="28"/>
        </w:rPr>
      </w:pPr>
      <w:r w:rsidRPr="00F01D84">
        <w:rPr>
          <w:rFonts w:ascii="Times New Roman" w:hAnsi="Times New Roman"/>
          <w:noProof/>
          <w:position w:val="-11"/>
          <w:szCs w:val="28"/>
          <w:lang w:eastAsia="ru-RU"/>
        </w:rPr>
        <w:drawing>
          <wp:inline distT="0" distB="0" distL="0" distR="0">
            <wp:extent cx="373380" cy="321945"/>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3380" cy="321945"/>
                    </a:xfrm>
                    <a:prstGeom prst="rect">
                      <a:avLst/>
                    </a:prstGeom>
                    <a:noFill/>
                    <a:ln>
                      <a:noFill/>
                    </a:ln>
                  </pic:spPr>
                </pic:pic>
              </a:graphicData>
            </a:graphic>
          </wp:inline>
        </w:drawing>
      </w:r>
      <w:r w:rsidRPr="00F01D84">
        <w:rPr>
          <w:rFonts w:ascii="Times New Roman" w:hAnsi="Times New Roman"/>
          <w:szCs w:val="28"/>
        </w:rPr>
        <w:t xml:space="preserve"> - расчетный объем дотации (часть расчетного объема дотации) из бюджета Республики Татарстан бюджету i-го муниципального образования;</w:t>
      </w:r>
    </w:p>
    <w:p w:rsidR="008E6F63" w:rsidRPr="00F01D84" w:rsidRDefault="008E6F63" w:rsidP="008E6F63">
      <w:pPr>
        <w:autoSpaceDE w:val="0"/>
        <w:autoSpaceDN w:val="0"/>
        <w:adjustRightInd w:val="0"/>
        <w:spacing w:before="280" w:line="240" w:lineRule="auto"/>
        <w:ind w:firstLine="540"/>
        <w:jc w:val="both"/>
        <w:rPr>
          <w:rFonts w:ascii="Times New Roman" w:hAnsi="Times New Roman"/>
          <w:szCs w:val="28"/>
        </w:rPr>
      </w:pPr>
      <w:r w:rsidRPr="00F01D84">
        <w:rPr>
          <w:rFonts w:ascii="Times New Roman" w:hAnsi="Times New Roman"/>
          <w:noProof/>
          <w:position w:val="-11"/>
          <w:szCs w:val="28"/>
          <w:lang w:eastAsia="ru-RU"/>
        </w:rPr>
        <w:drawing>
          <wp:inline distT="0" distB="0" distL="0" distR="0">
            <wp:extent cx="731520" cy="3219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1520" cy="321945"/>
                    </a:xfrm>
                    <a:prstGeom prst="rect">
                      <a:avLst/>
                    </a:prstGeom>
                    <a:noFill/>
                    <a:ln>
                      <a:noFill/>
                    </a:ln>
                  </pic:spPr>
                </pic:pic>
              </a:graphicData>
            </a:graphic>
          </wp:inline>
        </w:drawing>
      </w:r>
      <w:r w:rsidRPr="00F01D84">
        <w:rPr>
          <w:rFonts w:ascii="Times New Roman" w:hAnsi="Times New Roman"/>
          <w:szCs w:val="28"/>
        </w:rPr>
        <w:t xml:space="preserve"> - прогнозируемый на очередной финансовый год объем налога на доходы физических лиц в консолидированный бюджет Республики Татарстан по </w:t>
      </w:r>
      <w:proofErr w:type="spellStart"/>
      <w:r w:rsidRPr="00F01D84">
        <w:rPr>
          <w:rFonts w:ascii="Times New Roman" w:hAnsi="Times New Roman"/>
          <w:szCs w:val="28"/>
        </w:rPr>
        <w:t>i-му</w:t>
      </w:r>
      <w:proofErr w:type="spellEnd"/>
      <w:r w:rsidRPr="00F01D84">
        <w:rPr>
          <w:rFonts w:ascii="Times New Roman" w:hAnsi="Times New Roman"/>
          <w:szCs w:val="28"/>
        </w:rPr>
        <w:t xml:space="preserve"> муниципальному образованию;</w:t>
      </w:r>
    </w:p>
    <w:p w:rsidR="008E6F63" w:rsidRPr="00F01D84" w:rsidRDefault="008E6F63" w:rsidP="008E6F63">
      <w:pPr>
        <w:autoSpaceDE w:val="0"/>
        <w:autoSpaceDN w:val="0"/>
        <w:adjustRightInd w:val="0"/>
        <w:spacing w:before="280" w:line="240" w:lineRule="auto"/>
        <w:ind w:firstLine="540"/>
        <w:jc w:val="both"/>
        <w:rPr>
          <w:rFonts w:ascii="Times New Roman" w:hAnsi="Times New Roman"/>
          <w:szCs w:val="28"/>
        </w:rPr>
      </w:pPr>
      <w:r w:rsidRPr="00F01D84">
        <w:rPr>
          <w:rFonts w:ascii="Times New Roman" w:hAnsi="Times New Roman"/>
          <w:noProof/>
          <w:position w:val="-11"/>
          <w:szCs w:val="28"/>
          <w:lang w:eastAsia="ru-RU"/>
        </w:rPr>
        <w:drawing>
          <wp:inline distT="0" distB="0" distL="0" distR="0">
            <wp:extent cx="467995" cy="32194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7995" cy="321945"/>
                    </a:xfrm>
                    <a:prstGeom prst="rect">
                      <a:avLst/>
                    </a:prstGeom>
                    <a:noFill/>
                    <a:ln>
                      <a:noFill/>
                    </a:ln>
                  </pic:spPr>
                </pic:pic>
              </a:graphicData>
            </a:graphic>
          </wp:inline>
        </w:drawing>
      </w:r>
      <w:r w:rsidRPr="00F01D84">
        <w:rPr>
          <w:rFonts w:ascii="Times New Roman" w:hAnsi="Times New Roman"/>
          <w:szCs w:val="28"/>
        </w:rPr>
        <w:t xml:space="preserve"> - норматив, установленный абзацем четвертым пункта 2 статьи 56 Бюджетного кодекса Российской Федерации для зачисления в бюджеты субъектов Российской Федерации доходов от налога на доходы физических лиц.</w:t>
      </w:r>
    </w:p>
    <w:p w:rsidR="008E6F63" w:rsidRPr="00F01D84" w:rsidRDefault="008E6F63" w:rsidP="008E6F63"/>
    <w:p w:rsidR="00943435" w:rsidRPr="00223408" w:rsidRDefault="00943435" w:rsidP="003370CB">
      <w:pPr>
        <w:autoSpaceDE w:val="0"/>
        <w:autoSpaceDN w:val="0"/>
        <w:adjustRightInd w:val="0"/>
        <w:spacing w:line="240" w:lineRule="auto"/>
        <w:ind w:firstLine="567"/>
        <w:jc w:val="both"/>
        <w:rPr>
          <w:rFonts w:ascii="Times New Roman" w:hAnsi="Times New Roman"/>
          <w:szCs w:val="28"/>
        </w:rPr>
      </w:pPr>
      <w:bookmarkStart w:id="2" w:name="_GoBack"/>
      <w:bookmarkEnd w:id="2"/>
    </w:p>
    <w:sectPr w:rsidR="00943435" w:rsidRPr="00223408" w:rsidSect="00CB4020">
      <w:headerReference w:type="default" r:id="rId71"/>
      <w:pgSz w:w="11906" w:h="16838"/>
      <w:pgMar w:top="1134" w:right="1134"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CD4" w:rsidRDefault="00D67CD4" w:rsidP="00EF4121">
      <w:pPr>
        <w:spacing w:line="240" w:lineRule="auto"/>
      </w:pPr>
      <w:r>
        <w:separator/>
      </w:r>
    </w:p>
  </w:endnote>
  <w:endnote w:type="continuationSeparator" w:id="0">
    <w:p w:rsidR="00D67CD4" w:rsidRDefault="00D67CD4" w:rsidP="00EF412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L_Times New Roman">
    <w:altName w:val="Times New Roman"/>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CD4" w:rsidRDefault="00D67CD4" w:rsidP="00EF4121">
      <w:pPr>
        <w:spacing w:line="240" w:lineRule="auto"/>
      </w:pPr>
      <w:r>
        <w:separator/>
      </w:r>
    </w:p>
  </w:footnote>
  <w:footnote w:type="continuationSeparator" w:id="0">
    <w:p w:rsidR="00D67CD4" w:rsidRDefault="00D67CD4" w:rsidP="00EF412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5860"/>
      <w:docPartObj>
        <w:docPartGallery w:val="Page Numbers (Top of Page)"/>
        <w:docPartUnique/>
      </w:docPartObj>
    </w:sdtPr>
    <w:sdtContent>
      <w:p w:rsidR="00EF4121" w:rsidRDefault="00567929" w:rsidP="00EF4121">
        <w:pPr>
          <w:pStyle w:val="a5"/>
          <w:ind w:firstLine="0"/>
          <w:jc w:val="center"/>
        </w:pPr>
        <w:r w:rsidRPr="00EF4121">
          <w:rPr>
            <w:sz w:val="24"/>
            <w:szCs w:val="24"/>
          </w:rPr>
          <w:fldChar w:fldCharType="begin"/>
        </w:r>
        <w:r w:rsidR="00EF4121" w:rsidRPr="00EF4121">
          <w:rPr>
            <w:sz w:val="24"/>
            <w:szCs w:val="24"/>
          </w:rPr>
          <w:instrText xml:space="preserve"> PAGE   \* MERGEFORMAT </w:instrText>
        </w:r>
        <w:r w:rsidRPr="00EF4121">
          <w:rPr>
            <w:sz w:val="24"/>
            <w:szCs w:val="24"/>
          </w:rPr>
          <w:fldChar w:fldCharType="separate"/>
        </w:r>
        <w:r w:rsidR="0006358B">
          <w:rPr>
            <w:noProof/>
            <w:sz w:val="24"/>
            <w:szCs w:val="24"/>
          </w:rPr>
          <w:t>14</w:t>
        </w:r>
        <w:r w:rsidRPr="00EF4121">
          <w:rPr>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461478"/>
    <w:rsid w:val="00001EDC"/>
    <w:rsid w:val="00011A35"/>
    <w:rsid w:val="00013177"/>
    <w:rsid w:val="0001426B"/>
    <w:rsid w:val="00022DFF"/>
    <w:rsid w:val="00025697"/>
    <w:rsid w:val="00034CBC"/>
    <w:rsid w:val="000353C2"/>
    <w:rsid w:val="00042ACD"/>
    <w:rsid w:val="00045249"/>
    <w:rsid w:val="0004618C"/>
    <w:rsid w:val="00052154"/>
    <w:rsid w:val="00061FB7"/>
    <w:rsid w:val="00062E85"/>
    <w:rsid w:val="0006358B"/>
    <w:rsid w:val="0006498E"/>
    <w:rsid w:val="0006635E"/>
    <w:rsid w:val="00066D1E"/>
    <w:rsid w:val="000707F9"/>
    <w:rsid w:val="00081694"/>
    <w:rsid w:val="000825D1"/>
    <w:rsid w:val="00084199"/>
    <w:rsid w:val="0008619A"/>
    <w:rsid w:val="00086384"/>
    <w:rsid w:val="00093177"/>
    <w:rsid w:val="000A04B7"/>
    <w:rsid w:val="000A6378"/>
    <w:rsid w:val="000B16A2"/>
    <w:rsid w:val="000B30C7"/>
    <w:rsid w:val="000B6471"/>
    <w:rsid w:val="000C2741"/>
    <w:rsid w:val="000D384E"/>
    <w:rsid w:val="000D4149"/>
    <w:rsid w:val="000D5AE2"/>
    <w:rsid w:val="000D7BCA"/>
    <w:rsid w:val="000E5019"/>
    <w:rsid w:val="000E7476"/>
    <w:rsid w:val="000F7ED1"/>
    <w:rsid w:val="00100EF2"/>
    <w:rsid w:val="00102B17"/>
    <w:rsid w:val="00106E72"/>
    <w:rsid w:val="00110452"/>
    <w:rsid w:val="00113FF5"/>
    <w:rsid w:val="00124D71"/>
    <w:rsid w:val="00126CA3"/>
    <w:rsid w:val="0014038F"/>
    <w:rsid w:val="00141877"/>
    <w:rsid w:val="00145532"/>
    <w:rsid w:val="001461DC"/>
    <w:rsid w:val="00150665"/>
    <w:rsid w:val="00152259"/>
    <w:rsid w:val="00160A39"/>
    <w:rsid w:val="00163A97"/>
    <w:rsid w:val="00163B9D"/>
    <w:rsid w:val="0016635A"/>
    <w:rsid w:val="001670FC"/>
    <w:rsid w:val="00170FDB"/>
    <w:rsid w:val="0018626B"/>
    <w:rsid w:val="0018727C"/>
    <w:rsid w:val="00191AA5"/>
    <w:rsid w:val="00197A25"/>
    <w:rsid w:val="001B0E8E"/>
    <w:rsid w:val="001B4E9C"/>
    <w:rsid w:val="001D3856"/>
    <w:rsid w:val="001D55DA"/>
    <w:rsid w:val="001D5C01"/>
    <w:rsid w:val="001D6A01"/>
    <w:rsid w:val="001D6F8C"/>
    <w:rsid w:val="001E5E4E"/>
    <w:rsid w:val="001F539D"/>
    <w:rsid w:val="001F7292"/>
    <w:rsid w:val="00202B65"/>
    <w:rsid w:val="002060FA"/>
    <w:rsid w:val="00210DEB"/>
    <w:rsid w:val="00215B94"/>
    <w:rsid w:val="00220E84"/>
    <w:rsid w:val="00221946"/>
    <w:rsid w:val="002232AA"/>
    <w:rsid w:val="00223408"/>
    <w:rsid w:val="002235C7"/>
    <w:rsid w:val="0022438A"/>
    <w:rsid w:val="00224E5B"/>
    <w:rsid w:val="0022746E"/>
    <w:rsid w:val="002277A7"/>
    <w:rsid w:val="0023071B"/>
    <w:rsid w:val="00233049"/>
    <w:rsid w:val="00236535"/>
    <w:rsid w:val="00236C59"/>
    <w:rsid w:val="00246899"/>
    <w:rsid w:val="00252C00"/>
    <w:rsid w:val="00254D51"/>
    <w:rsid w:val="00256A08"/>
    <w:rsid w:val="00262323"/>
    <w:rsid w:val="002A12C1"/>
    <w:rsid w:val="002A2DCB"/>
    <w:rsid w:val="002A2FB6"/>
    <w:rsid w:val="002A3C81"/>
    <w:rsid w:val="002A6A0F"/>
    <w:rsid w:val="002A76D9"/>
    <w:rsid w:val="002B4C40"/>
    <w:rsid w:val="002D6D61"/>
    <w:rsid w:val="002D7D37"/>
    <w:rsid w:val="002F3440"/>
    <w:rsid w:val="002F5957"/>
    <w:rsid w:val="002F759C"/>
    <w:rsid w:val="003005EA"/>
    <w:rsid w:val="003055CB"/>
    <w:rsid w:val="0032098E"/>
    <w:rsid w:val="00322A0F"/>
    <w:rsid w:val="0032376E"/>
    <w:rsid w:val="003253BF"/>
    <w:rsid w:val="003325CE"/>
    <w:rsid w:val="003370CB"/>
    <w:rsid w:val="00337278"/>
    <w:rsid w:val="003401FF"/>
    <w:rsid w:val="0034053D"/>
    <w:rsid w:val="00350347"/>
    <w:rsid w:val="0035415D"/>
    <w:rsid w:val="00362A4D"/>
    <w:rsid w:val="0036648E"/>
    <w:rsid w:val="00374608"/>
    <w:rsid w:val="003747C9"/>
    <w:rsid w:val="0037639A"/>
    <w:rsid w:val="003773A0"/>
    <w:rsid w:val="003807B6"/>
    <w:rsid w:val="00380D51"/>
    <w:rsid w:val="003823D0"/>
    <w:rsid w:val="003858E9"/>
    <w:rsid w:val="00385916"/>
    <w:rsid w:val="00385F16"/>
    <w:rsid w:val="003A4FD4"/>
    <w:rsid w:val="003A6150"/>
    <w:rsid w:val="003A6178"/>
    <w:rsid w:val="003B74AD"/>
    <w:rsid w:val="003C0561"/>
    <w:rsid w:val="003C1941"/>
    <w:rsid w:val="003C3228"/>
    <w:rsid w:val="003C493F"/>
    <w:rsid w:val="003C672D"/>
    <w:rsid w:val="003E0B13"/>
    <w:rsid w:val="003E5DFE"/>
    <w:rsid w:val="00404F9F"/>
    <w:rsid w:val="00413475"/>
    <w:rsid w:val="00415119"/>
    <w:rsid w:val="00416940"/>
    <w:rsid w:val="00425722"/>
    <w:rsid w:val="004307D9"/>
    <w:rsid w:val="00433D77"/>
    <w:rsid w:val="00442796"/>
    <w:rsid w:val="0044321C"/>
    <w:rsid w:val="00443419"/>
    <w:rsid w:val="00445861"/>
    <w:rsid w:val="00446475"/>
    <w:rsid w:val="00451065"/>
    <w:rsid w:val="004530A5"/>
    <w:rsid w:val="00453B4D"/>
    <w:rsid w:val="00461478"/>
    <w:rsid w:val="0046178D"/>
    <w:rsid w:val="00461CAE"/>
    <w:rsid w:val="00462AAE"/>
    <w:rsid w:val="004634D0"/>
    <w:rsid w:val="0046489A"/>
    <w:rsid w:val="004652CA"/>
    <w:rsid w:val="00467C14"/>
    <w:rsid w:val="004723E7"/>
    <w:rsid w:val="00474287"/>
    <w:rsid w:val="00474678"/>
    <w:rsid w:val="00481EBC"/>
    <w:rsid w:val="004852B3"/>
    <w:rsid w:val="004873E7"/>
    <w:rsid w:val="0049232C"/>
    <w:rsid w:val="00496DD5"/>
    <w:rsid w:val="00497507"/>
    <w:rsid w:val="004A2D8C"/>
    <w:rsid w:val="004B40B7"/>
    <w:rsid w:val="004C1EDF"/>
    <w:rsid w:val="004C2250"/>
    <w:rsid w:val="004C4756"/>
    <w:rsid w:val="004D1D86"/>
    <w:rsid w:val="004D6929"/>
    <w:rsid w:val="004E2728"/>
    <w:rsid w:val="004E2BEF"/>
    <w:rsid w:val="004E44F0"/>
    <w:rsid w:val="004E7786"/>
    <w:rsid w:val="004F01C8"/>
    <w:rsid w:val="004F1899"/>
    <w:rsid w:val="004F6487"/>
    <w:rsid w:val="005002C5"/>
    <w:rsid w:val="0050388A"/>
    <w:rsid w:val="00506CE2"/>
    <w:rsid w:val="0051513B"/>
    <w:rsid w:val="005165F8"/>
    <w:rsid w:val="005171C4"/>
    <w:rsid w:val="00520755"/>
    <w:rsid w:val="005359F9"/>
    <w:rsid w:val="0054221A"/>
    <w:rsid w:val="005462EE"/>
    <w:rsid w:val="005500A2"/>
    <w:rsid w:val="0055519E"/>
    <w:rsid w:val="00561639"/>
    <w:rsid w:val="00561D3D"/>
    <w:rsid w:val="0056355A"/>
    <w:rsid w:val="00564A77"/>
    <w:rsid w:val="005664D6"/>
    <w:rsid w:val="00567929"/>
    <w:rsid w:val="00570A9B"/>
    <w:rsid w:val="005725AB"/>
    <w:rsid w:val="005800E2"/>
    <w:rsid w:val="0058594C"/>
    <w:rsid w:val="005875DA"/>
    <w:rsid w:val="00592F2C"/>
    <w:rsid w:val="005A1E2B"/>
    <w:rsid w:val="005A3577"/>
    <w:rsid w:val="005A5658"/>
    <w:rsid w:val="005A5F45"/>
    <w:rsid w:val="005A7995"/>
    <w:rsid w:val="005A7E6E"/>
    <w:rsid w:val="005A7EF0"/>
    <w:rsid w:val="005B062B"/>
    <w:rsid w:val="005B098D"/>
    <w:rsid w:val="005B1B08"/>
    <w:rsid w:val="005B3910"/>
    <w:rsid w:val="005C0667"/>
    <w:rsid w:val="005C2EED"/>
    <w:rsid w:val="005C31EC"/>
    <w:rsid w:val="005D06F4"/>
    <w:rsid w:val="005D3B40"/>
    <w:rsid w:val="005D3CC9"/>
    <w:rsid w:val="005E779D"/>
    <w:rsid w:val="005F25FF"/>
    <w:rsid w:val="005F4243"/>
    <w:rsid w:val="00602115"/>
    <w:rsid w:val="00607F53"/>
    <w:rsid w:val="00610744"/>
    <w:rsid w:val="00611492"/>
    <w:rsid w:val="00620C04"/>
    <w:rsid w:val="00622823"/>
    <w:rsid w:val="0063107A"/>
    <w:rsid w:val="006363E4"/>
    <w:rsid w:val="006417B9"/>
    <w:rsid w:val="00641BE9"/>
    <w:rsid w:val="0064368A"/>
    <w:rsid w:val="00646ECD"/>
    <w:rsid w:val="00653806"/>
    <w:rsid w:val="00655770"/>
    <w:rsid w:val="0066330F"/>
    <w:rsid w:val="00667B20"/>
    <w:rsid w:val="00672903"/>
    <w:rsid w:val="00677C50"/>
    <w:rsid w:val="006832B5"/>
    <w:rsid w:val="00692328"/>
    <w:rsid w:val="00696C21"/>
    <w:rsid w:val="006A15EC"/>
    <w:rsid w:val="006A2E97"/>
    <w:rsid w:val="006B29BA"/>
    <w:rsid w:val="006B320E"/>
    <w:rsid w:val="006B373D"/>
    <w:rsid w:val="006B4285"/>
    <w:rsid w:val="006B5551"/>
    <w:rsid w:val="006B6B1C"/>
    <w:rsid w:val="006C238B"/>
    <w:rsid w:val="006C6D92"/>
    <w:rsid w:val="006C79CD"/>
    <w:rsid w:val="006D0A72"/>
    <w:rsid w:val="006D5B9B"/>
    <w:rsid w:val="006D5C3E"/>
    <w:rsid w:val="006E1F24"/>
    <w:rsid w:val="006E514A"/>
    <w:rsid w:val="006E59E7"/>
    <w:rsid w:val="0070030E"/>
    <w:rsid w:val="0071039F"/>
    <w:rsid w:val="00710D54"/>
    <w:rsid w:val="00711AA6"/>
    <w:rsid w:val="007132E4"/>
    <w:rsid w:val="0071606F"/>
    <w:rsid w:val="007201DA"/>
    <w:rsid w:val="007264E7"/>
    <w:rsid w:val="0073340B"/>
    <w:rsid w:val="00750B76"/>
    <w:rsid w:val="00752F1F"/>
    <w:rsid w:val="00757518"/>
    <w:rsid w:val="007575AF"/>
    <w:rsid w:val="007575B1"/>
    <w:rsid w:val="00762E02"/>
    <w:rsid w:val="00764BA5"/>
    <w:rsid w:val="00766435"/>
    <w:rsid w:val="00781D9D"/>
    <w:rsid w:val="00782D70"/>
    <w:rsid w:val="00784FBB"/>
    <w:rsid w:val="00790992"/>
    <w:rsid w:val="00794160"/>
    <w:rsid w:val="007977F9"/>
    <w:rsid w:val="007A098F"/>
    <w:rsid w:val="007A69EA"/>
    <w:rsid w:val="007A7C7A"/>
    <w:rsid w:val="007B3D9F"/>
    <w:rsid w:val="007B47EF"/>
    <w:rsid w:val="007B5B22"/>
    <w:rsid w:val="007C04CF"/>
    <w:rsid w:val="007D0F59"/>
    <w:rsid w:val="007D2ABC"/>
    <w:rsid w:val="007D4E73"/>
    <w:rsid w:val="007E281F"/>
    <w:rsid w:val="007E4C1D"/>
    <w:rsid w:val="007F3428"/>
    <w:rsid w:val="007F5788"/>
    <w:rsid w:val="007F643F"/>
    <w:rsid w:val="007F762F"/>
    <w:rsid w:val="008023AD"/>
    <w:rsid w:val="00803783"/>
    <w:rsid w:val="00806F51"/>
    <w:rsid w:val="0081118A"/>
    <w:rsid w:val="00813B20"/>
    <w:rsid w:val="0081461B"/>
    <w:rsid w:val="00823083"/>
    <w:rsid w:val="008234BC"/>
    <w:rsid w:val="008300EB"/>
    <w:rsid w:val="008324BE"/>
    <w:rsid w:val="008371DA"/>
    <w:rsid w:val="00841FE5"/>
    <w:rsid w:val="00843F46"/>
    <w:rsid w:val="00844096"/>
    <w:rsid w:val="008478C0"/>
    <w:rsid w:val="00847ED2"/>
    <w:rsid w:val="0085028A"/>
    <w:rsid w:val="00850BA4"/>
    <w:rsid w:val="00853E87"/>
    <w:rsid w:val="008559B1"/>
    <w:rsid w:val="008615C6"/>
    <w:rsid w:val="0086495D"/>
    <w:rsid w:val="008708BF"/>
    <w:rsid w:val="008717C5"/>
    <w:rsid w:val="00876384"/>
    <w:rsid w:val="00880CD0"/>
    <w:rsid w:val="00884F09"/>
    <w:rsid w:val="008A0C49"/>
    <w:rsid w:val="008A55D1"/>
    <w:rsid w:val="008C08AA"/>
    <w:rsid w:val="008C1622"/>
    <w:rsid w:val="008C2749"/>
    <w:rsid w:val="008D0F07"/>
    <w:rsid w:val="008D2CED"/>
    <w:rsid w:val="008D3415"/>
    <w:rsid w:val="008D46E5"/>
    <w:rsid w:val="008E1056"/>
    <w:rsid w:val="008E28CE"/>
    <w:rsid w:val="008E4729"/>
    <w:rsid w:val="008E6F63"/>
    <w:rsid w:val="00901CCB"/>
    <w:rsid w:val="009039E2"/>
    <w:rsid w:val="0090763F"/>
    <w:rsid w:val="009115FF"/>
    <w:rsid w:val="00913E9F"/>
    <w:rsid w:val="00914D1E"/>
    <w:rsid w:val="009174DF"/>
    <w:rsid w:val="00925610"/>
    <w:rsid w:val="00925F09"/>
    <w:rsid w:val="00932CCF"/>
    <w:rsid w:val="009342B7"/>
    <w:rsid w:val="0093752B"/>
    <w:rsid w:val="0093784B"/>
    <w:rsid w:val="00940C43"/>
    <w:rsid w:val="0094193D"/>
    <w:rsid w:val="00943435"/>
    <w:rsid w:val="00946202"/>
    <w:rsid w:val="00950586"/>
    <w:rsid w:val="0095162C"/>
    <w:rsid w:val="00957124"/>
    <w:rsid w:val="00962C84"/>
    <w:rsid w:val="00972B5A"/>
    <w:rsid w:val="0097352C"/>
    <w:rsid w:val="0098089E"/>
    <w:rsid w:val="0098214C"/>
    <w:rsid w:val="00984E96"/>
    <w:rsid w:val="00985C47"/>
    <w:rsid w:val="00992149"/>
    <w:rsid w:val="009B177D"/>
    <w:rsid w:val="009B32B6"/>
    <w:rsid w:val="009B59F6"/>
    <w:rsid w:val="009B6539"/>
    <w:rsid w:val="009C32B7"/>
    <w:rsid w:val="009C487A"/>
    <w:rsid w:val="009C71A6"/>
    <w:rsid w:val="009C72A5"/>
    <w:rsid w:val="009E1BEA"/>
    <w:rsid w:val="009E1F8D"/>
    <w:rsid w:val="009E4A00"/>
    <w:rsid w:val="009E6E43"/>
    <w:rsid w:val="009F4281"/>
    <w:rsid w:val="009F775C"/>
    <w:rsid w:val="00A006DC"/>
    <w:rsid w:val="00A02910"/>
    <w:rsid w:val="00A03A36"/>
    <w:rsid w:val="00A05BC2"/>
    <w:rsid w:val="00A07D10"/>
    <w:rsid w:val="00A10024"/>
    <w:rsid w:val="00A14CF8"/>
    <w:rsid w:val="00A247C7"/>
    <w:rsid w:val="00A25AFF"/>
    <w:rsid w:val="00A3257C"/>
    <w:rsid w:val="00A3433B"/>
    <w:rsid w:val="00A37FA6"/>
    <w:rsid w:val="00A43EFB"/>
    <w:rsid w:val="00A45D6C"/>
    <w:rsid w:val="00A53138"/>
    <w:rsid w:val="00A55341"/>
    <w:rsid w:val="00A55A7F"/>
    <w:rsid w:val="00A626C4"/>
    <w:rsid w:val="00A65121"/>
    <w:rsid w:val="00A70E9F"/>
    <w:rsid w:val="00A729BF"/>
    <w:rsid w:val="00A80046"/>
    <w:rsid w:val="00A8402A"/>
    <w:rsid w:val="00A8694B"/>
    <w:rsid w:val="00AA3EC9"/>
    <w:rsid w:val="00AA67AC"/>
    <w:rsid w:val="00AB36B0"/>
    <w:rsid w:val="00AB5C7E"/>
    <w:rsid w:val="00AC465F"/>
    <w:rsid w:val="00AC49BC"/>
    <w:rsid w:val="00AC73B6"/>
    <w:rsid w:val="00AD1B99"/>
    <w:rsid w:val="00AD76E4"/>
    <w:rsid w:val="00AE29F7"/>
    <w:rsid w:val="00AE4A27"/>
    <w:rsid w:val="00AE5A44"/>
    <w:rsid w:val="00AF17EF"/>
    <w:rsid w:val="00AF1E2A"/>
    <w:rsid w:val="00B005B3"/>
    <w:rsid w:val="00B1350C"/>
    <w:rsid w:val="00B138FB"/>
    <w:rsid w:val="00B13F45"/>
    <w:rsid w:val="00B1579C"/>
    <w:rsid w:val="00B16AE1"/>
    <w:rsid w:val="00B346E2"/>
    <w:rsid w:val="00B4271D"/>
    <w:rsid w:val="00B44F63"/>
    <w:rsid w:val="00B4680F"/>
    <w:rsid w:val="00B47B21"/>
    <w:rsid w:val="00B51E1B"/>
    <w:rsid w:val="00B542C1"/>
    <w:rsid w:val="00B54954"/>
    <w:rsid w:val="00B57CF1"/>
    <w:rsid w:val="00B61B10"/>
    <w:rsid w:val="00B62AF7"/>
    <w:rsid w:val="00B65A55"/>
    <w:rsid w:val="00B66A07"/>
    <w:rsid w:val="00B673D4"/>
    <w:rsid w:val="00B77414"/>
    <w:rsid w:val="00B84512"/>
    <w:rsid w:val="00B86206"/>
    <w:rsid w:val="00B93832"/>
    <w:rsid w:val="00BA0BC4"/>
    <w:rsid w:val="00BB4EF5"/>
    <w:rsid w:val="00BB71DF"/>
    <w:rsid w:val="00BB7B1E"/>
    <w:rsid w:val="00BC51D4"/>
    <w:rsid w:val="00BD3FF0"/>
    <w:rsid w:val="00BD7C9D"/>
    <w:rsid w:val="00BE56AB"/>
    <w:rsid w:val="00BE5CF3"/>
    <w:rsid w:val="00BE5D2A"/>
    <w:rsid w:val="00BE7369"/>
    <w:rsid w:val="00BF099B"/>
    <w:rsid w:val="00C059EE"/>
    <w:rsid w:val="00C06810"/>
    <w:rsid w:val="00C17F36"/>
    <w:rsid w:val="00C22EEB"/>
    <w:rsid w:val="00C23770"/>
    <w:rsid w:val="00C25554"/>
    <w:rsid w:val="00C319C1"/>
    <w:rsid w:val="00C36852"/>
    <w:rsid w:val="00C37865"/>
    <w:rsid w:val="00C44D98"/>
    <w:rsid w:val="00C4565C"/>
    <w:rsid w:val="00C45B4E"/>
    <w:rsid w:val="00C54212"/>
    <w:rsid w:val="00C60753"/>
    <w:rsid w:val="00C6100E"/>
    <w:rsid w:val="00C61257"/>
    <w:rsid w:val="00C64CB9"/>
    <w:rsid w:val="00C663BD"/>
    <w:rsid w:val="00C71074"/>
    <w:rsid w:val="00C77BCB"/>
    <w:rsid w:val="00C9076E"/>
    <w:rsid w:val="00C952B4"/>
    <w:rsid w:val="00CA549C"/>
    <w:rsid w:val="00CB167B"/>
    <w:rsid w:val="00CB3D27"/>
    <w:rsid w:val="00CB4020"/>
    <w:rsid w:val="00CB598A"/>
    <w:rsid w:val="00CC4407"/>
    <w:rsid w:val="00CE11A3"/>
    <w:rsid w:val="00CE1D6C"/>
    <w:rsid w:val="00CE7642"/>
    <w:rsid w:val="00CF1DFE"/>
    <w:rsid w:val="00CF2511"/>
    <w:rsid w:val="00CF470E"/>
    <w:rsid w:val="00CF4B9D"/>
    <w:rsid w:val="00D020BC"/>
    <w:rsid w:val="00D02242"/>
    <w:rsid w:val="00D05111"/>
    <w:rsid w:val="00D17BC1"/>
    <w:rsid w:val="00D222B2"/>
    <w:rsid w:val="00D25CF4"/>
    <w:rsid w:val="00D32438"/>
    <w:rsid w:val="00D33484"/>
    <w:rsid w:val="00D355EE"/>
    <w:rsid w:val="00D35AA9"/>
    <w:rsid w:val="00D405FF"/>
    <w:rsid w:val="00D43F51"/>
    <w:rsid w:val="00D4514B"/>
    <w:rsid w:val="00D47B83"/>
    <w:rsid w:val="00D5007B"/>
    <w:rsid w:val="00D62AA9"/>
    <w:rsid w:val="00D63FBA"/>
    <w:rsid w:val="00D67CD4"/>
    <w:rsid w:val="00D71981"/>
    <w:rsid w:val="00D77176"/>
    <w:rsid w:val="00D77A27"/>
    <w:rsid w:val="00D819EB"/>
    <w:rsid w:val="00D84241"/>
    <w:rsid w:val="00D84897"/>
    <w:rsid w:val="00D903EC"/>
    <w:rsid w:val="00D9187A"/>
    <w:rsid w:val="00DA198F"/>
    <w:rsid w:val="00DA1E74"/>
    <w:rsid w:val="00DA54B1"/>
    <w:rsid w:val="00DA5F0E"/>
    <w:rsid w:val="00DB078C"/>
    <w:rsid w:val="00DB1D71"/>
    <w:rsid w:val="00DB6C54"/>
    <w:rsid w:val="00DC1EDD"/>
    <w:rsid w:val="00DD6A9F"/>
    <w:rsid w:val="00DE513F"/>
    <w:rsid w:val="00DE7268"/>
    <w:rsid w:val="00DE7F3C"/>
    <w:rsid w:val="00DF0585"/>
    <w:rsid w:val="00DF2866"/>
    <w:rsid w:val="00DF2C48"/>
    <w:rsid w:val="00E00E24"/>
    <w:rsid w:val="00E02D42"/>
    <w:rsid w:val="00E14A23"/>
    <w:rsid w:val="00E15CD0"/>
    <w:rsid w:val="00E17339"/>
    <w:rsid w:val="00E24571"/>
    <w:rsid w:val="00E26FA2"/>
    <w:rsid w:val="00E27067"/>
    <w:rsid w:val="00E2724C"/>
    <w:rsid w:val="00E3079B"/>
    <w:rsid w:val="00E345A3"/>
    <w:rsid w:val="00E35B4F"/>
    <w:rsid w:val="00E36464"/>
    <w:rsid w:val="00E366F2"/>
    <w:rsid w:val="00E42D19"/>
    <w:rsid w:val="00E43C65"/>
    <w:rsid w:val="00E44515"/>
    <w:rsid w:val="00E5055D"/>
    <w:rsid w:val="00E50DA5"/>
    <w:rsid w:val="00E51536"/>
    <w:rsid w:val="00E5447B"/>
    <w:rsid w:val="00E5709C"/>
    <w:rsid w:val="00E6109F"/>
    <w:rsid w:val="00E63E22"/>
    <w:rsid w:val="00E67E77"/>
    <w:rsid w:val="00E73938"/>
    <w:rsid w:val="00E83405"/>
    <w:rsid w:val="00E8503C"/>
    <w:rsid w:val="00E90EC2"/>
    <w:rsid w:val="00E9524E"/>
    <w:rsid w:val="00E96906"/>
    <w:rsid w:val="00EA0BF2"/>
    <w:rsid w:val="00EA3641"/>
    <w:rsid w:val="00EA7242"/>
    <w:rsid w:val="00EB0F3C"/>
    <w:rsid w:val="00EB23F1"/>
    <w:rsid w:val="00EC1E69"/>
    <w:rsid w:val="00EC354C"/>
    <w:rsid w:val="00EC4F55"/>
    <w:rsid w:val="00EC681F"/>
    <w:rsid w:val="00EC7CC6"/>
    <w:rsid w:val="00ED130A"/>
    <w:rsid w:val="00ED3B58"/>
    <w:rsid w:val="00ED6013"/>
    <w:rsid w:val="00EE0DDD"/>
    <w:rsid w:val="00EE33CA"/>
    <w:rsid w:val="00EE3CE6"/>
    <w:rsid w:val="00EF4121"/>
    <w:rsid w:val="00EF4DBB"/>
    <w:rsid w:val="00F00165"/>
    <w:rsid w:val="00F0098D"/>
    <w:rsid w:val="00F029EC"/>
    <w:rsid w:val="00F074DE"/>
    <w:rsid w:val="00F13B6B"/>
    <w:rsid w:val="00F243B4"/>
    <w:rsid w:val="00F2738D"/>
    <w:rsid w:val="00F3039F"/>
    <w:rsid w:val="00F37E11"/>
    <w:rsid w:val="00F566A9"/>
    <w:rsid w:val="00F56CED"/>
    <w:rsid w:val="00F61389"/>
    <w:rsid w:val="00F701E0"/>
    <w:rsid w:val="00F729C9"/>
    <w:rsid w:val="00F74952"/>
    <w:rsid w:val="00F87BB6"/>
    <w:rsid w:val="00F95C74"/>
    <w:rsid w:val="00F96808"/>
    <w:rsid w:val="00FA304B"/>
    <w:rsid w:val="00FA4F76"/>
    <w:rsid w:val="00FA6C3A"/>
    <w:rsid w:val="00FB4B77"/>
    <w:rsid w:val="00FC6B0F"/>
    <w:rsid w:val="00FD47C5"/>
    <w:rsid w:val="00FE3819"/>
    <w:rsid w:val="00FE4197"/>
    <w:rsid w:val="00FE6138"/>
    <w:rsid w:val="00FF09FD"/>
    <w:rsid w:val="00FF1680"/>
    <w:rsid w:val="00FF3402"/>
    <w:rsid w:val="00FF5F55"/>
    <w:rsid w:val="00FF6425"/>
    <w:rsid w:val="00FF6605"/>
    <w:rsid w:val="00FF6A26"/>
    <w:rsid w:val="00FF6D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B76"/>
    <w:pPr>
      <w:spacing w:line="288" w:lineRule="auto"/>
      <w:ind w:firstLine="709"/>
      <w:jc w:val="left"/>
    </w:pPr>
    <w:rPr>
      <w:rFonts w:ascii="SL_Times New Roman" w:eastAsia="Calibri" w:hAnsi="SL_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750B76"/>
    <w:pPr>
      <w:widowControl w:val="0"/>
      <w:autoSpaceDE w:val="0"/>
      <w:autoSpaceDN w:val="0"/>
      <w:adjustRightInd w:val="0"/>
      <w:jc w:val="left"/>
    </w:pPr>
    <w:rPr>
      <w:rFonts w:ascii="SL_Times New Roman" w:eastAsia="Times New Roman" w:hAnsi="SL_Times New Roman" w:cs="SL_Times New Roman"/>
      <w:b/>
      <w:bCs/>
      <w:lang w:eastAsia="ru-RU"/>
    </w:rPr>
  </w:style>
  <w:style w:type="paragraph" w:customStyle="1" w:styleId="ConsPlusNonformat">
    <w:name w:val="ConsPlusNonformat"/>
    <w:uiPriority w:val="99"/>
    <w:rsid w:val="00750B76"/>
    <w:pPr>
      <w:autoSpaceDE w:val="0"/>
      <w:autoSpaceDN w:val="0"/>
      <w:adjustRightInd w:val="0"/>
      <w:jc w:val="left"/>
    </w:pPr>
    <w:rPr>
      <w:rFonts w:ascii="Courier New" w:hAnsi="Courier New" w:cs="Courier New"/>
      <w:sz w:val="20"/>
      <w:szCs w:val="20"/>
    </w:rPr>
  </w:style>
  <w:style w:type="paragraph" w:styleId="a3">
    <w:name w:val="Balloon Text"/>
    <w:basedOn w:val="a"/>
    <w:link w:val="a4"/>
    <w:uiPriority w:val="99"/>
    <w:semiHidden/>
    <w:unhideWhenUsed/>
    <w:rsid w:val="00750B7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0B76"/>
    <w:rPr>
      <w:rFonts w:ascii="Tahoma" w:eastAsia="Calibri" w:hAnsi="Tahoma" w:cs="Tahoma"/>
      <w:sz w:val="16"/>
      <w:szCs w:val="16"/>
    </w:rPr>
  </w:style>
  <w:style w:type="paragraph" w:styleId="a5">
    <w:name w:val="header"/>
    <w:basedOn w:val="a"/>
    <w:link w:val="a6"/>
    <w:uiPriority w:val="99"/>
    <w:unhideWhenUsed/>
    <w:rsid w:val="00EF4121"/>
    <w:pPr>
      <w:tabs>
        <w:tab w:val="center" w:pos="4677"/>
        <w:tab w:val="right" w:pos="9355"/>
      </w:tabs>
      <w:spacing w:line="240" w:lineRule="auto"/>
    </w:pPr>
  </w:style>
  <w:style w:type="character" w:customStyle="1" w:styleId="a6">
    <w:name w:val="Верхний колонтитул Знак"/>
    <w:basedOn w:val="a0"/>
    <w:link w:val="a5"/>
    <w:uiPriority w:val="99"/>
    <w:rsid w:val="00EF4121"/>
    <w:rPr>
      <w:rFonts w:ascii="SL_Times New Roman" w:eastAsia="Calibri" w:hAnsi="SL_Times New Roman"/>
      <w:szCs w:val="22"/>
    </w:rPr>
  </w:style>
  <w:style w:type="paragraph" w:styleId="a7">
    <w:name w:val="footer"/>
    <w:basedOn w:val="a"/>
    <w:link w:val="a8"/>
    <w:uiPriority w:val="99"/>
    <w:semiHidden/>
    <w:unhideWhenUsed/>
    <w:rsid w:val="00EF4121"/>
    <w:pPr>
      <w:tabs>
        <w:tab w:val="center" w:pos="4677"/>
        <w:tab w:val="right" w:pos="9355"/>
      </w:tabs>
      <w:spacing w:line="240" w:lineRule="auto"/>
    </w:pPr>
  </w:style>
  <w:style w:type="character" w:customStyle="1" w:styleId="a8">
    <w:name w:val="Нижний колонтитул Знак"/>
    <w:basedOn w:val="a0"/>
    <w:link w:val="a7"/>
    <w:uiPriority w:val="99"/>
    <w:semiHidden/>
    <w:rsid w:val="00EF4121"/>
    <w:rPr>
      <w:rFonts w:ascii="SL_Times New Roman" w:eastAsia="Calibri" w:hAnsi="SL_Times New Roman"/>
      <w:szCs w:val="22"/>
    </w:rPr>
  </w:style>
  <w:style w:type="paragraph" w:customStyle="1" w:styleId="ConsPlusNormal">
    <w:name w:val="ConsPlusNormal"/>
    <w:rsid w:val="00106E72"/>
    <w:pPr>
      <w:autoSpaceDE w:val="0"/>
      <w:autoSpaceDN w:val="0"/>
      <w:adjustRightInd w:val="0"/>
      <w:jc w:val="left"/>
    </w:pPr>
    <w:rPr>
      <w:rFonts w:ascii="SL_Times New Roman" w:hAnsi="SL_Times New Roman" w:cs="SL_Times New Roman"/>
    </w:rPr>
  </w:style>
  <w:style w:type="character" w:styleId="a9">
    <w:name w:val="Placeholder Text"/>
    <w:basedOn w:val="a0"/>
    <w:uiPriority w:val="99"/>
    <w:semiHidden/>
    <w:rsid w:val="009C487A"/>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B09B465591CED33EF77F6842E75984B46DD7BF6B44E652D9296C1A191A49237AC82864AF5CA97DEADA8511E0220B5B12BB73E8B734474CA157F9606e0M8L" TargetMode="External"/><Relationship Id="rId18" Type="http://schemas.openxmlformats.org/officeDocument/2006/relationships/image" Target="media/image4.wmf"/><Relationship Id="rId26" Type="http://schemas.openxmlformats.org/officeDocument/2006/relationships/image" Target="media/image11.wmf"/><Relationship Id="rId39" Type="http://schemas.openxmlformats.org/officeDocument/2006/relationships/image" Target="media/image22.wmf"/><Relationship Id="rId21" Type="http://schemas.openxmlformats.org/officeDocument/2006/relationships/image" Target="media/image6.wmf"/><Relationship Id="rId34" Type="http://schemas.openxmlformats.org/officeDocument/2006/relationships/image" Target="media/image18.wmf"/><Relationship Id="rId42" Type="http://schemas.openxmlformats.org/officeDocument/2006/relationships/image" Target="media/image25.wmf"/><Relationship Id="rId47" Type="http://schemas.openxmlformats.org/officeDocument/2006/relationships/hyperlink" Target="consultantplus://offline/ref=93D3C9F0AB856CA4C8745EE9073358DC5EBC22C23DBB23B2F6F8BFD2087619CF0482D25AB353F7E6ED720D6D370DBEA8FFBB94F237868FD968BFB37AS7Q6L" TargetMode="External"/><Relationship Id="rId50" Type="http://schemas.openxmlformats.org/officeDocument/2006/relationships/image" Target="media/image31.wmf"/><Relationship Id="rId55" Type="http://schemas.openxmlformats.org/officeDocument/2006/relationships/image" Target="media/image34.wmf"/><Relationship Id="rId63" Type="http://schemas.openxmlformats.org/officeDocument/2006/relationships/image" Target="media/image42.wmf"/><Relationship Id="rId68" Type="http://schemas.openxmlformats.org/officeDocument/2006/relationships/image" Target="media/image47.wmf"/><Relationship Id="rId7" Type="http://schemas.openxmlformats.org/officeDocument/2006/relationships/hyperlink" Target="consultantplus://offline/ref=5B09B465591CED33EF77F6842E75984B46DD7BF6B44E652D9296C1A191A49237AC82864AF5CA97DBA8A05B4A5A6FB4ED6EE62D8A7E4476C309e7MDL" TargetMode="External"/><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14.wmf"/><Relationship Id="rId11" Type="http://schemas.openxmlformats.org/officeDocument/2006/relationships/hyperlink" Target="consultantplus://offline/ref=5B09B465591CED33EF77F6842E75984B46DD7BF6B44E652D9296C1A191A49237AC82864AF5CA97DDA8A95B4A5A6FB4ED6EE62D8A7E4476C309e7MDL" TargetMode="External"/><Relationship Id="rId24" Type="http://schemas.openxmlformats.org/officeDocument/2006/relationships/image" Target="media/image9.wmf"/><Relationship Id="rId32" Type="http://schemas.openxmlformats.org/officeDocument/2006/relationships/image" Target="media/image17.wmf"/><Relationship Id="rId37" Type="http://schemas.openxmlformats.org/officeDocument/2006/relationships/image" Target="media/image20.wmf"/><Relationship Id="rId40" Type="http://schemas.openxmlformats.org/officeDocument/2006/relationships/image" Target="media/image23.wmf"/><Relationship Id="rId45" Type="http://schemas.openxmlformats.org/officeDocument/2006/relationships/hyperlink" Target="consultantplus://offline/ref=93D3C9F0AB856CA4C8745EE9073358DC5EBC22C23DBB23B2F6F8BFD2087619CF0482D25AB353F7E6ED720D6E350DBEA8FFBB94F237868FD968BFB37AS7Q6L" TargetMode="External"/><Relationship Id="rId53" Type="http://schemas.openxmlformats.org/officeDocument/2006/relationships/hyperlink" Target="consultantplus://offline/ref=93D3C9F0AB856CA4C8745EE9073358DC5EBC22C23DBB23B2F6F8BFD2087619CF0482D25AB353F7E6ED720D6D370DBEA8FFBB94F237868FD968BFB37AS7Q6L" TargetMode="External"/><Relationship Id="rId58" Type="http://schemas.openxmlformats.org/officeDocument/2006/relationships/image" Target="media/image37.wmf"/><Relationship Id="rId66" Type="http://schemas.openxmlformats.org/officeDocument/2006/relationships/image" Target="media/image45.wmf"/><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8.wmf"/><Relationship Id="rId28" Type="http://schemas.openxmlformats.org/officeDocument/2006/relationships/image" Target="media/image13.wmf"/><Relationship Id="rId36" Type="http://schemas.openxmlformats.org/officeDocument/2006/relationships/image" Target="media/image19.wmf"/><Relationship Id="rId49" Type="http://schemas.openxmlformats.org/officeDocument/2006/relationships/image" Target="media/image30.wmf"/><Relationship Id="rId57" Type="http://schemas.openxmlformats.org/officeDocument/2006/relationships/image" Target="media/image36.wmf"/><Relationship Id="rId61" Type="http://schemas.openxmlformats.org/officeDocument/2006/relationships/image" Target="media/image40.wmf"/><Relationship Id="rId10" Type="http://schemas.openxmlformats.org/officeDocument/2006/relationships/hyperlink" Target="consultantplus://offline/ref=5B09B465591CED33EF77F6842E75984B46DD7BF6B44E652D9296C1A191A49237AC82864AF5CA97DEADA851180D20B5B12BB73E8B734474CA157F9606e0M8L" TargetMode="External"/><Relationship Id="rId19" Type="http://schemas.openxmlformats.org/officeDocument/2006/relationships/hyperlink" Target="consultantplus://offline/ref=93D3C9F0AB856CA4C8745EE9073358DC5EBC22C23DBB23B2F6F8BFD2087619CF0482D25AB353F7E6ED720D6D370DBEA8FFBB94F237868FD968BFB37AS7Q6L" TargetMode="External"/><Relationship Id="rId31" Type="http://schemas.openxmlformats.org/officeDocument/2006/relationships/image" Target="media/image16.wmf"/><Relationship Id="rId44" Type="http://schemas.openxmlformats.org/officeDocument/2006/relationships/image" Target="media/image27.wmf"/><Relationship Id="rId52" Type="http://schemas.openxmlformats.org/officeDocument/2006/relationships/hyperlink" Target="consultantplus://offline/ref=93D3C9F0AB856CA4C8745EE9073358DC5EBC22C23DBB23B2F6F8BFD2087619CF0482D25AB353F7E6ED720D6E350DBEA8FFBB94F237868FD968BFB37AS7Q6L" TargetMode="External"/><Relationship Id="rId60" Type="http://schemas.openxmlformats.org/officeDocument/2006/relationships/image" Target="media/image39.wmf"/><Relationship Id="rId65" Type="http://schemas.openxmlformats.org/officeDocument/2006/relationships/image" Target="media/image44.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5B09B465591CED33EF77F6842E75984B46DD7BF6B44E652D9296C1A191A49237AC82864AF5CA97DEADA8511B0F20B5B12BB73E8B734474CA157F9606e0M8L" TargetMode="External"/><Relationship Id="rId14" Type="http://schemas.openxmlformats.org/officeDocument/2006/relationships/image" Target="media/image1.wmf"/><Relationship Id="rId22" Type="http://schemas.openxmlformats.org/officeDocument/2006/relationships/image" Target="media/image7.wmf"/><Relationship Id="rId27" Type="http://schemas.openxmlformats.org/officeDocument/2006/relationships/image" Target="media/image12.wmf"/><Relationship Id="rId30" Type="http://schemas.openxmlformats.org/officeDocument/2006/relationships/image" Target="media/image15.wmf"/><Relationship Id="rId35" Type="http://schemas.openxmlformats.org/officeDocument/2006/relationships/hyperlink" Target="consultantplus://offline/ref=93D3C9F0AB856CA4C8745EE9073358DC5EBC22C23DBB23B2F6F8BFD2087619CF0482D25AB353F7E6ED720D6D370DBEA8FFBB94F237868FD968BFB37AS7Q6L" TargetMode="External"/><Relationship Id="rId43" Type="http://schemas.openxmlformats.org/officeDocument/2006/relationships/image" Target="media/image26.wmf"/><Relationship Id="rId48" Type="http://schemas.openxmlformats.org/officeDocument/2006/relationships/image" Target="media/image29.wmf"/><Relationship Id="rId56" Type="http://schemas.openxmlformats.org/officeDocument/2006/relationships/image" Target="media/image35.wmf"/><Relationship Id="rId64" Type="http://schemas.openxmlformats.org/officeDocument/2006/relationships/image" Target="media/image43.wmf"/><Relationship Id="rId69" Type="http://schemas.openxmlformats.org/officeDocument/2006/relationships/image" Target="media/image48.wmf"/><Relationship Id="rId8" Type="http://schemas.openxmlformats.org/officeDocument/2006/relationships/hyperlink" Target="consultantplus://offline/ref=5B09B465591CED33EF77F6842E75984B46DD7BF6B44E652D9296C1A191A49237AC82864AF5CA97DBA8A05B4A5A6FB4ED6EE62D8A7E4476C309e7MDL" TargetMode="External"/><Relationship Id="rId51" Type="http://schemas.openxmlformats.org/officeDocument/2006/relationships/image" Target="media/image32.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5B09B465591CED33EF77F6842E75984B46DD7BF6B44E652D9296C1A191A49237AC82864AF5CA97DEADAB571E0C20B5B12BB73E8B734474CA157F9606e0M8L" TargetMode="External"/><Relationship Id="rId17" Type="http://schemas.openxmlformats.org/officeDocument/2006/relationships/hyperlink" Target="consultantplus://offline/ref=93D3C9F0AB856CA4C8745EE9073358DC5EBC22C23DBB23B2F6F8BFD2087619CF0482D25AB353F7E6ED720D6E350DBEA8FFBB94F237868FD968BFB37AS7Q6L" TargetMode="External"/><Relationship Id="rId25" Type="http://schemas.openxmlformats.org/officeDocument/2006/relationships/image" Target="media/image10.wmf"/><Relationship Id="rId33" Type="http://schemas.openxmlformats.org/officeDocument/2006/relationships/hyperlink" Target="consultantplus://offline/ref=93D3C9F0AB856CA4C8745EE9073358DC5EBC22C23DBB23B2F6F8BFD2087619CF0482D25AB353F7E6ED720D6E350DBEA8FFBB94F237868FD968BFB37AS7Q6L" TargetMode="External"/><Relationship Id="rId38" Type="http://schemas.openxmlformats.org/officeDocument/2006/relationships/image" Target="media/image21.wmf"/><Relationship Id="rId46" Type="http://schemas.openxmlformats.org/officeDocument/2006/relationships/image" Target="media/image28.wmf"/><Relationship Id="rId59" Type="http://schemas.openxmlformats.org/officeDocument/2006/relationships/image" Target="media/image38.wmf"/><Relationship Id="rId67" Type="http://schemas.openxmlformats.org/officeDocument/2006/relationships/image" Target="media/image46.wmf"/><Relationship Id="rId20" Type="http://schemas.openxmlformats.org/officeDocument/2006/relationships/image" Target="media/image5.wmf"/><Relationship Id="rId41" Type="http://schemas.openxmlformats.org/officeDocument/2006/relationships/image" Target="media/image24.wmf"/><Relationship Id="rId54" Type="http://schemas.openxmlformats.org/officeDocument/2006/relationships/image" Target="media/image33.wmf"/><Relationship Id="rId62" Type="http://schemas.openxmlformats.org/officeDocument/2006/relationships/image" Target="media/image41.wmf"/><Relationship Id="rId70" Type="http://schemas.openxmlformats.org/officeDocument/2006/relationships/image" Target="media/image49.wmf"/><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0EEFB-390E-4542-BFE4-482591E28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14</Pages>
  <Words>4272</Words>
  <Characters>24353</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28568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Irina.ermolenko</dc:creator>
  <cp:lastModifiedBy>azna-nafikova</cp:lastModifiedBy>
  <cp:revision>15</cp:revision>
  <cp:lastPrinted>2021-09-11T06:46:00Z</cp:lastPrinted>
  <dcterms:created xsi:type="dcterms:W3CDTF">2020-09-14T11:11:00Z</dcterms:created>
  <dcterms:modified xsi:type="dcterms:W3CDTF">2023-10-19T05:53:00Z</dcterms:modified>
</cp:coreProperties>
</file>