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872"/>
        <w:gridCol w:w="4766"/>
      </w:tblGrid>
      <w:tr w:rsidR="00133AAF" w:rsidTr="00133AAF">
        <w:tc>
          <w:tcPr>
            <w:tcW w:w="4872" w:type="dxa"/>
          </w:tcPr>
          <w:p w:rsidR="00133AAF" w:rsidRDefault="00133AAF" w:rsidP="00133AA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ru-RU" w:eastAsia="en-US"/>
              </w:rPr>
              <w:t>30 декабря 2005 года</w:t>
            </w:r>
          </w:p>
        </w:tc>
        <w:tc>
          <w:tcPr>
            <w:tcW w:w="4766" w:type="dxa"/>
          </w:tcPr>
          <w:p w:rsidR="00133AAF" w:rsidRDefault="00133AAF" w:rsidP="00133AAF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ru-RU" w:eastAsia="en-US"/>
              </w:rPr>
              <w:t>N 143-ЗРТ</w:t>
            </w:r>
          </w:p>
        </w:tc>
      </w:tr>
    </w:tbl>
    <w:p w:rsidR="00133AAF" w:rsidRDefault="00133AAF" w:rsidP="00133AAF">
      <w:pPr>
        <w:pBdr>
          <w:top w:val="single" w:sz="6" w:space="0" w:color="auto"/>
        </w:pBdr>
        <w:autoSpaceDE w:val="0"/>
        <w:autoSpaceDN w:val="0"/>
        <w:adjustRightInd w:val="0"/>
        <w:spacing w:before="100" w:after="100"/>
        <w:jc w:val="both"/>
        <w:rPr>
          <w:rFonts w:ascii="Arial" w:hAnsi="Arial" w:cs="Arial"/>
          <w:sz w:val="2"/>
          <w:szCs w:val="2"/>
          <w:lang w:val="ru-RU" w:eastAsia="en-US"/>
        </w:rPr>
      </w:pP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P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33AAF">
        <w:rPr>
          <w:rFonts w:ascii="Arial" w:hAnsi="Arial" w:cs="Arial"/>
          <w:i w:val="0"/>
          <w:sz w:val="20"/>
          <w:szCs w:val="20"/>
          <w:lang w:val="ru-RU" w:eastAsia="en-US"/>
        </w:rPr>
        <w:t>ЗАКОН РЕСПУБЛИКИ ТАТАРСТАН</w:t>
      </w:r>
    </w:p>
    <w:p w:rsidR="00133AAF" w:rsidRP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jc w:val="both"/>
        <w:rPr>
          <w:rFonts w:ascii="Arial" w:hAnsi="Arial" w:cs="Arial"/>
          <w:i w:val="0"/>
          <w:sz w:val="20"/>
          <w:szCs w:val="20"/>
          <w:lang w:val="ru-RU" w:eastAsia="en-US"/>
        </w:rPr>
      </w:pPr>
    </w:p>
    <w:p w:rsidR="00133AAF" w:rsidRP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33AAF">
        <w:rPr>
          <w:rFonts w:ascii="Arial" w:hAnsi="Arial" w:cs="Arial"/>
          <w:i w:val="0"/>
          <w:sz w:val="20"/>
          <w:szCs w:val="20"/>
          <w:lang w:val="ru-RU" w:eastAsia="en-US"/>
        </w:rPr>
        <w:t>О НАДЕЛЕНИИ ОРГАНОВ МЕСТНОГО САМОУПРАВЛЕНИЯ МУНИЦИПАЛЬНЫХ</w:t>
      </w:r>
    </w:p>
    <w:p w:rsidR="00133AAF" w:rsidRP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33AAF">
        <w:rPr>
          <w:rFonts w:ascii="Arial" w:hAnsi="Arial" w:cs="Arial"/>
          <w:i w:val="0"/>
          <w:sz w:val="20"/>
          <w:szCs w:val="20"/>
          <w:lang w:val="ru-RU" w:eastAsia="en-US"/>
        </w:rPr>
        <w:t>РАЙОНОВ И ГОРОДСКИХ ОКРУГОВ ГОСУДАРСТВЕННЫМИ ПОЛНОМОЧИЯМИ</w:t>
      </w:r>
    </w:p>
    <w:p w:rsidR="00133AAF" w:rsidRP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33AAF">
        <w:rPr>
          <w:rFonts w:ascii="Arial" w:hAnsi="Arial" w:cs="Arial"/>
          <w:i w:val="0"/>
          <w:sz w:val="20"/>
          <w:szCs w:val="20"/>
          <w:lang w:val="ru-RU" w:eastAsia="en-US"/>
        </w:rPr>
        <w:t>РЕСПУБЛИКИ ТАТАРСТАН ПО СОЗДАНИЮ И ОРГАНИЗАЦИИ</w:t>
      </w:r>
    </w:p>
    <w:p w:rsidR="00133AAF" w:rsidRP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33AAF">
        <w:rPr>
          <w:rFonts w:ascii="Arial" w:hAnsi="Arial" w:cs="Arial"/>
          <w:i w:val="0"/>
          <w:sz w:val="20"/>
          <w:szCs w:val="20"/>
          <w:lang w:val="ru-RU" w:eastAsia="en-US"/>
        </w:rPr>
        <w:t>ДЕЯТЕЛЬНОСТИ КОМИССИЙ ПО ДЕЛАМ НЕСОВЕРШЕННОЛЕТНИХ</w:t>
      </w:r>
    </w:p>
    <w:p w:rsidR="00133AAF" w:rsidRP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33AAF">
        <w:rPr>
          <w:rFonts w:ascii="Arial" w:hAnsi="Arial" w:cs="Arial"/>
          <w:i w:val="0"/>
          <w:sz w:val="20"/>
          <w:szCs w:val="20"/>
          <w:lang w:val="ru-RU" w:eastAsia="en-US"/>
        </w:rPr>
        <w:t>И ЗАЩИТЕ ИХ ПРАВ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Принят</w:t>
      </w:r>
      <w:proofErr w:type="gramEnd"/>
    </w:p>
    <w:p w:rsidR="00133AAF" w:rsidRDefault="00133AAF" w:rsidP="00133AAF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Государственным Советом</w:t>
      </w:r>
    </w:p>
    <w:p w:rsidR="00133AAF" w:rsidRDefault="00133AAF" w:rsidP="00133AAF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Республики Татарстан</w:t>
      </w:r>
    </w:p>
    <w:p w:rsidR="00133AAF" w:rsidRDefault="00133AAF" w:rsidP="00133AAF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23 декабря 2005 года</w:t>
      </w:r>
    </w:p>
    <w:p w:rsidR="00133AAF" w:rsidRDefault="00133AAF" w:rsidP="00133AAF">
      <w:pPr>
        <w:autoSpaceDE w:val="0"/>
        <w:autoSpaceDN w:val="0"/>
        <w:adjustRightInd w:val="0"/>
        <w:rPr>
          <w:rFonts w:ascii="Arial" w:hAnsi="Arial" w:cs="Arial"/>
          <w:lang w:val="ru-RU"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352"/>
        <w:gridCol w:w="113"/>
      </w:tblGrid>
      <w:tr w:rsidR="00133A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33AAF" w:rsidRDefault="00133AAF" w:rsidP="00133AAF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3AAF" w:rsidRDefault="00133AAF" w:rsidP="00133AAF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en-US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33AAF" w:rsidRDefault="00133AAF" w:rsidP="00133A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Список изменяющих документов</w:t>
            </w:r>
          </w:p>
          <w:p w:rsidR="00133AAF" w:rsidRDefault="00133AAF" w:rsidP="00133A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proofErr w:type="gramStart"/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(в ред. Законов РТ от 30.07.2010 </w:t>
            </w: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62-ЗРТ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, от 17.12.2012 </w:t>
            </w:r>
            <w:hyperlink r:id="rId7" w:history="1">
              <w:r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84-ЗРТ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,</w:t>
            </w:r>
            <w:proofErr w:type="gramEnd"/>
          </w:p>
          <w:p w:rsidR="00133AAF" w:rsidRDefault="00133AAF" w:rsidP="00133A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от 16.10.2013 </w:t>
            </w:r>
            <w:hyperlink r:id="rId8" w:history="1">
              <w:r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79-ЗРТ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, от 18.10.2013 </w:t>
            </w:r>
            <w:hyperlink r:id="rId9" w:history="1">
              <w:r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80-ЗРТ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, от 01.03.2019 </w:t>
            </w:r>
            <w:hyperlink r:id="rId10" w:history="1">
              <w:r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7-ЗРТ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,</w:t>
            </w:r>
          </w:p>
          <w:p w:rsidR="00133AAF" w:rsidRDefault="00133AAF" w:rsidP="00133A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от 27.09.2019 </w:t>
            </w:r>
            <w:hyperlink r:id="rId11" w:history="1">
              <w:r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72-ЗРТ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, от 21.07.2020 </w:t>
            </w:r>
            <w:hyperlink r:id="rId12" w:history="1">
              <w:r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45-ЗРТ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, от 19.11.2020 </w:t>
            </w:r>
            <w:hyperlink r:id="rId13" w:history="1">
              <w:r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75-ЗРТ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,</w:t>
            </w:r>
          </w:p>
          <w:p w:rsidR="00133AAF" w:rsidRDefault="00133AAF" w:rsidP="00133A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от 26.10.2023 </w:t>
            </w:r>
            <w:hyperlink r:id="rId14" w:history="1">
              <w:r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96-ЗРТ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,</w:t>
            </w:r>
          </w:p>
          <w:p w:rsidR="00133AAF" w:rsidRDefault="00133AAF" w:rsidP="00133A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с </w:t>
            </w:r>
            <w:proofErr w:type="spellStart"/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изм</w:t>
            </w:r>
            <w:proofErr w:type="spellEnd"/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., </w:t>
            </w:r>
            <w:proofErr w:type="gramStart"/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внесенными</w:t>
            </w:r>
            <w:proofErr w:type="gramEnd"/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 </w:t>
            </w:r>
            <w:hyperlink r:id="rId15" w:history="1">
              <w:r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Законом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 РТ от 30.11.2012 N 80-ЗРТ)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3AAF" w:rsidRDefault="00133AAF" w:rsidP="00133A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</w:p>
        </w:tc>
      </w:tr>
    </w:tbl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Настоящий Закон в целях эффективного решения вопросов профилактики безнадзорности и правонарушений несовершеннолетних и защиты их прав регулирует отношения, связанные с наделением органов местного самоуправления муниципальных районов и городских округов (далее - органы местного самоуправления) государственными полномочиями Республики Татарстан по созданию и организации деятельности комиссий по делам несовершеннолетних и защите их прав (далее - комиссий).</w:t>
      </w:r>
      <w:proofErr w:type="gramEnd"/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19.11.2020 N 75-ЗРТ)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Статья 1. Государственные полномочия Республики Татарстан по созданию и организации деятельности комиссий, передаваемые органам местного самоуправления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19.11.2020 N 75-ЗРТ)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1. Органы государственной власти Республики Татарстан передают органам местного самоуправления государственные полномочия: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по созданию комиссий в муниципальных районах, городских округах;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19.11.2020 N 75-ЗРТ)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по исполнению функций комиссий в муниципальных районах, городских округах;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по обеспечению деятельности указанных комиссий.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2. Утратила силу. -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01.03.2019 N 7-ЗРТ.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Статья 2. Наименования муниципальных образований в Республике Татарстан, органы местного самоуправления которых наделяются государственными полномочиями Республики Татарстан по созданию и организации деятельности комиссий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20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19.11.2020 N 75-ЗРТ)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Государственными полномочиями Республики Татарстан по созданию и организации деятельности комиссий (далее - государственные полномочия) наделяются органы местного самоуправления следующих муниципальных образований в Республике Татарстан: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21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19.11.2020 N 75-ЗРТ)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 xml:space="preserve">город Казань, "город Набережные Челны",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Агрызский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Азнакаевский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Аксубаевский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Актанышский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Алексеевский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Алькеевский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Альметьевский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Апастовский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Арский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Атнинский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Бавлинский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Балтасинский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lastRenderedPageBreak/>
        <w:t>Бугульминский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Буинский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Верхнеуслонский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Высокогорский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Дрожжановский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Елабужский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Заинский</w:t>
      </w:r>
      <w:proofErr w:type="spellEnd"/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 xml:space="preserve">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Зеленодольский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Кайбицкий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Камско-Устьинский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Кукморский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Лаишевский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Лениногорский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Мамадышский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Менделеевский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Мензелинский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Муслюмовский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Нижнекамский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Новошешминский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Нурлатский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Пестречинский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Рыбно-Слободский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Сабинский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Сармановский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Спасский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Тетюшский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Тукаевский</w:t>
      </w:r>
      <w:proofErr w:type="spellEnd"/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Тюлячинский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Черемшанский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Чистопольский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район,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Ютазинский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муниципальный район.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Статья 3. Срок, на который органам местного самоуправления передаются государственные полномочия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Государственные полномочия передаются органам местного самоуправления на неограниченный срок.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Статья 4. Финансовое обеспечение переданных органам местного самоуправления государственных полномочий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1. Финансовое обеспечение переданных государственных полномочий осуществляется за счет предоставляемых бюджетам муниципальных районов и городских округов субвенций из бюджета Республики Татарстан.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(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в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ред. </w:t>
      </w:r>
      <w:hyperlink r:id="rId22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27.09.2019 N 72-ЗРТ)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2.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 xml:space="preserve">Общий объем субвенций для осуществления государственных полномочий и его распределение между муниципальными образованиями определяются в соответствии с </w:t>
      </w:r>
      <w:hyperlink w:anchor="Par143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Методикой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определения объема субвенций, предоставляемых бюджетам муниципальных образований из бюджета Республики Татарстан для осуществления органами местного самоуправления государственных полномочий Республики Татарстан по созданию и организации деятельности комиссий по делам несовершеннолетних и защите их прав, согласно приложению к настоящему Закону.</w:t>
      </w:r>
      <w:proofErr w:type="gramEnd"/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(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в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ред. Законов РТ от 27.09.2019 </w:t>
      </w:r>
      <w:hyperlink r:id="rId23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N 72-ЗРТ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, от 19.11.2020 </w:t>
      </w:r>
      <w:hyperlink r:id="rId24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N 75-ЗРТ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>)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3. Объем субвенций, предоставляемых бюджетам муниципальных районов и городских округов для осуществления органами местного самоуправления государственных полномочий, устанавливается законом Республики Татарстан о бюджете Республики Татарстан на очередной финансовый год и плановый период.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(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в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ред. </w:t>
      </w:r>
      <w:hyperlink r:id="rId25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27.09.2019 N 72-ЗРТ)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Статья 5. Материальные средства, передаваемые в безвозмездное пользование органам местного самоуправления для осуществления государственных полномочий</w:t>
      </w: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26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30.07.2010 N 62-ЗРТ)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Материальные средства, находящиеся в собственности Республики Татарстан, в случае необходимости обеспечения осуществления государственных полномочий, предусмотренных настоящим Законом, передаются в безвозмездное пользование органам местного самоуправления в соответствии с Перечнем передаваемых материальных средств.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Разработка Перечня передаваемых материальных средств, его утверждение и принятие решения о передаче материальных средств осуществляются органом исполнительной власти Республики Татарстан, уполномоченным в области имущественных отношений, на основании подготовленного с учетом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предложений органов местного самоуправления обращения органа исполнительной власти Республики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Татарстан, уполномоченного в области молодежной политики.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Статья 6. Права и обязанности органов местного самоуправления при осуществлении государственных полномочий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1. Органы местного самоуправления при осуществлении государственных полномочий вправе: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lastRenderedPageBreak/>
        <w:t>дополнительно использовать собственные материальные и финансовые средства для осуществления переданных им государственных полномочий в случаях и порядке, предусмотренных уставом муниципального образования;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вносить предложения по совершенствованию деятельности, связанной с порядком осуществления государственных полномочий.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2. Органы местного самоуправления обязаны исполнять в установленном законодательством порядке государственные полномочия, которыми они наделены настоящим Законом.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3. Органы местного самоуправления и должностные лица местного самоуправления обязаны представлять уполномоченным государственным органам документы и информацию, связанные с осуществлением переданных государственных полномочий.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4. Органы местного самоуправления обязаны оказывать необходимое содействие уполномоченным органам исполнительной власти Республики Татарстан в осуществлении ими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контроля за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реализацией органами местного самоуправления государственных полномочий.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(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ч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асть 4 введена </w:t>
      </w:r>
      <w:hyperlink r:id="rId27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Законом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30.07.2010 N 62-ЗРТ)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Статья 7. Права и обязанности органов государственной власти Республики Татарстан при осуществлении органами местного самоуправления государственных полномочий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1. Органы государственной власти Республики Татарстан при осуществлении органами местного самоуправления государственных полномочий вправе: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запрашивать документы и информацию у органов местного самоуправления и должностных лиц местного самоуправления по вопросам, связанным с исполнением переданных государственных полномочий;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проводить проверки деятельности органов местного самоуправления по исполнению переданных государственных полномочий в порядке, предусмотренном </w:t>
      </w:r>
      <w:hyperlink r:id="rId28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статьей 77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Федерации;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29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21.07.2020 N 45-ЗРТ)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давать письменные предписания по устранению выявленных нарушений законодательства по вопросам осуществления органами местного самоуправления или должностными лицами местного самоуправления переданных государственных полномочий.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2. Органы государственной власти Республики Татарстан при осуществлении органами местного самоуправления государственных полномочий обязаны: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передавать органам местного самоуправления материальные и финансовые средства, необходимые для осуществления государственных полномочий;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осуществлять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контроль за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исполнением органами местного самоуправления государственных полномочий, а также за использованием предоставленных на эти цели материальных и финансовых средств;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оказывать организационно-методическую помощь по вопросам осуществления переданных государственных полномочий.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Статья 8. Порядок отчетности органов местного самоуправления об осуществлении государственных полномочий</w:t>
      </w: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30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30.07.2010 N 62-ЗРТ)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Отчеты об осуществлении государственных полномочий, переданных органам местного самоуправления, представляются органами местного самоуправления в орган исполнительной власти Республики Татарстан, уполномоченный в области молодежной политики, ежеквартально, в срок до 10 числа месяца, следующего за отчетным кварталом, по форме, установленной Кабинетом Министров Республики Татарстан.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Статья 9.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Контроль за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осуществлением органами местного самоуправления переданных им государственных полномочий</w:t>
      </w: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lastRenderedPageBreak/>
        <w:t xml:space="preserve">(в ред. </w:t>
      </w:r>
      <w:hyperlink r:id="rId31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30.07.2010 N 62-ЗРТ)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Контроль за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осуществлением государственных полномочий, переданных органам местного самоуправления, осуществляется: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1) органом исполнительной власти Республики Татарстан, уполномоченным в области молодежной политики, в части надлежащего осуществления органами местного самоуправления переданных государственных полномочий путем: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запросов необходимых документов, отчетов и информации об исполнении государственных полномочий;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проведения проверок в порядке, предусмотренном </w:t>
      </w:r>
      <w:hyperlink r:id="rId32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статьей 77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Федерации";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33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21.07.2020 N 45-ЗРТ)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2) органом исполнительной власти Республики Татарстан, уполномоченным в области финансовой политики, в части использования финансовых средств, предоставленных для осуществления государственных полномочий, в соответствии с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(п. 2 в ред. </w:t>
      </w:r>
      <w:hyperlink r:id="rId34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21.07.2020 N 45-ЗРТ)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3) в случае передачи в безвозмездное пользование органам местного самоуправления материальных средств, находящихся в собственности Республики Татарстан, для обеспечения государственных полномочий, предусмотренных настоящим Законом, органом исполнительной власти Республики Татарстан, уполномоченным в области имущественных отношений, в части сохранности и надлежащего использования государственного имущества, переданного органам местного самоуправления для осуществления государственных полномочий, путем:</w:t>
      </w:r>
      <w:proofErr w:type="gramEnd"/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запросов необходимых документов, отчетов и информации об исполнении государственных полномочий;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проведения проверок в порядке, предусмотренном </w:t>
      </w:r>
      <w:hyperlink r:id="rId35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статьей 77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Федерации";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36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21.07.2020 N 45-ЗРТ)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принятия необходимых мер по устранению нарушений и их предупреждению.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Статья 10. Условия и порядок прекращения осуществления органами местного самоуправления государственных полномочий</w:t>
      </w: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37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30.07.2010 N 62-ЗРТ)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bookmarkStart w:id="0" w:name="Par108"/>
      <w:bookmarkEnd w:id="0"/>
      <w:r>
        <w:rPr>
          <w:rFonts w:ascii="Arial" w:hAnsi="Arial" w:cs="Arial"/>
          <w:sz w:val="20"/>
          <w:szCs w:val="20"/>
          <w:lang w:val="ru-RU" w:eastAsia="en-US"/>
        </w:rPr>
        <w:t>1. Прекращение осуществления органами местного самоуправления государственных полномочий производится законом Республики Татарстан в случаях: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1) неисполнения или ненадлежащего исполнения органами местного самоуправления требований законодательства в области регулирования переданных государственных полномочий;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2) неисполнения органами местного самоуправления и их должностными лицами предписаний об устранении нарушений настоящего Закона;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3) изменения федерального законодательства или законодательства Республики Татарстан, в результате которого осуществление органами местного самоуправления государственных полномочий становится невозможным.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2. Прекращение осуществления органами местного самоуправления государственных полномочий влечет за собой возврат неиспользованных финансовых и материальных средств, переданных для осуществления государственных полномочий.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3. В случае неисполнения или ненадлежащего исполнения органами местного самоуправления требований законодательства по осуществлению государственных полномочий орган исполнительной власти Республики Татарстан, уполномоченный в области молодежной политики, в </w:t>
      </w:r>
      <w:r>
        <w:rPr>
          <w:rFonts w:ascii="Arial" w:hAnsi="Arial" w:cs="Arial"/>
          <w:sz w:val="20"/>
          <w:szCs w:val="20"/>
          <w:lang w:val="ru-RU" w:eastAsia="en-US"/>
        </w:rPr>
        <w:lastRenderedPageBreak/>
        <w:t>течение 10 дней со дня выявления указанных нарушений направляет в органы местного самоуправления предписание об их устранении.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4. Предписание об устранении выявленных нарушений подлежит обязательному рассмотрению не позднее чем в десятидневный срок со дня его поступления в органы местного самоуправления. О результатах рассмотрения предписания в течение одного рабочего дня сообщается в письменной форме в орган исполнительной власти Республики Татарстан, уполномоченный в области молодежной политики.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(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в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ред. </w:t>
      </w:r>
      <w:hyperlink r:id="rId38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19.11.2020 N 75-ЗРТ)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5. В случаях, предусмотренных </w:t>
      </w:r>
      <w:hyperlink w:anchor="Par108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частью 1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настоящей статьи, орган исполнительной власти Республики Татарстан, уполномоченный в области молодежной политики, вносит на рассмотрение Кабинета Министров Республики Татарстан предложение о прекращении осуществления органами местного самоуправления государственных полномочий и соответствующий проект закона Республики Татарстан.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Статья 11. Заключительные положения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1. Утратила силу. - </w:t>
      </w:r>
      <w:hyperlink r:id="rId39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16.10.2013 N 79-ЗРТ.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2. Нормативные правовые акты органов государственной власти Республики Татарстан и органов местного самоуправления подлежат приведению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>в соответствие с настоящим Законом в течение трех месяцев со дня вступления его в силу</w:t>
      </w:r>
      <w:proofErr w:type="gramEnd"/>
      <w:r>
        <w:rPr>
          <w:rFonts w:ascii="Arial" w:hAnsi="Arial" w:cs="Arial"/>
          <w:sz w:val="20"/>
          <w:szCs w:val="20"/>
          <w:lang w:val="ru-RU" w:eastAsia="en-US"/>
        </w:rPr>
        <w:t>.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40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19.11.2020 N 75-ЗРТ)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Президент</w:t>
      </w:r>
    </w:p>
    <w:p w:rsidR="00133AAF" w:rsidRDefault="00133AAF" w:rsidP="00133AAF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Республики Татарстан</w:t>
      </w:r>
    </w:p>
    <w:p w:rsidR="00133AAF" w:rsidRDefault="00133AAF" w:rsidP="00133AAF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М.Ш.ШАЙМИЕВ</w:t>
      </w:r>
    </w:p>
    <w:p w:rsidR="00133AAF" w:rsidRDefault="00133AAF" w:rsidP="00133AAF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Казань, Кремль</w:t>
      </w:r>
    </w:p>
    <w:p w:rsidR="00133AAF" w:rsidRDefault="00133AAF" w:rsidP="00133AAF">
      <w:pPr>
        <w:autoSpaceDE w:val="0"/>
        <w:autoSpaceDN w:val="0"/>
        <w:adjustRightInd w:val="0"/>
        <w:spacing w:before="200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30 декабря 2005 года</w:t>
      </w:r>
    </w:p>
    <w:p w:rsidR="00133AAF" w:rsidRDefault="00133AAF" w:rsidP="00133AAF">
      <w:pPr>
        <w:autoSpaceDE w:val="0"/>
        <w:autoSpaceDN w:val="0"/>
        <w:adjustRightInd w:val="0"/>
        <w:spacing w:before="200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N 143-ЗРТ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Приложение</w:t>
      </w:r>
    </w:p>
    <w:p w:rsidR="00133AAF" w:rsidRDefault="00133AAF" w:rsidP="00133AAF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к Закону Республики Татарстан</w:t>
      </w:r>
    </w:p>
    <w:p w:rsidR="00133AAF" w:rsidRDefault="00133AAF" w:rsidP="00133AAF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"О наделении органов местного самоуправления</w:t>
      </w:r>
    </w:p>
    <w:p w:rsidR="00133AAF" w:rsidRDefault="00133AAF" w:rsidP="00133AAF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муниципальных районов и городских округов</w:t>
      </w:r>
    </w:p>
    <w:p w:rsidR="00133AAF" w:rsidRDefault="00133AAF" w:rsidP="00133AAF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государственными полномочиями Республики Татарстан</w:t>
      </w:r>
    </w:p>
    <w:p w:rsidR="00133AAF" w:rsidRDefault="00133AAF" w:rsidP="00133AAF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по образованию и организации деятельности комиссий</w:t>
      </w:r>
    </w:p>
    <w:p w:rsidR="00133AAF" w:rsidRDefault="00133AAF" w:rsidP="00133AAF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по делам несовершеннолетних и защите их прав"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P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bookmarkStart w:id="1" w:name="Par143"/>
      <w:bookmarkEnd w:id="1"/>
      <w:r w:rsidRPr="00133AAF">
        <w:rPr>
          <w:rFonts w:ascii="Arial" w:hAnsi="Arial" w:cs="Arial"/>
          <w:i w:val="0"/>
          <w:sz w:val="20"/>
          <w:szCs w:val="20"/>
          <w:lang w:val="ru-RU" w:eastAsia="en-US"/>
        </w:rPr>
        <w:t>МЕТОДИКА</w:t>
      </w:r>
    </w:p>
    <w:p w:rsidR="00133AAF" w:rsidRP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33AAF">
        <w:rPr>
          <w:rFonts w:ascii="Arial" w:hAnsi="Arial" w:cs="Arial"/>
          <w:i w:val="0"/>
          <w:sz w:val="20"/>
          <w:szCs w:val="20"/>
          <w:lang w:val="ru-RU" w:eastAsia="en-US"/>
        </w:rPr>
        <w:t>ОПРЕДЕЛЕНИЯ ОБЪЕМА СУБВЕНЦИЙ, ПРЕДОСТАВЛЯЕМЫХ БЮДЖЕТАМ</w:t>
      </w:r>
    </w:p>
    <w:p w:rsidR="00133AAF" w:rsidRP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33AAF">
        <w:rPr>
          <w:rFonts w:ascii="Arial" w:hAnsi="Arial" w:cs="Arial"/>
          <w:i w:val="0"/>
          <w:sz w:val="20"/>
          <w:szCs w:val="20"/>
          <w:lang w:val="ru-RU" w:eastAsia="en-US"/>
        </w:rPr>
        <w:t>МУНИЦИПАЛЬНЫХ ОБРАЗОВАНИЙ ИЗ БЮДЖЕТА РЕСПУБЛИКИ ТАТАРСТАН</w:t>
      </w:r>
    </w:p>
    <w:p w:rsidR="00133AAF" w:rsidRP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33AAF">
        <w:rPr>
          <w:rFonts w:ascii="Arial" w:hAnsi="Arial" w:cs="Arial"/>
          <w:i w:val="0"/>
          <w:sz w:val="20"/>
          <w:szCs w:val="20"/>
          <w:lang w:val="ru-RU" w:eastAsia="en-US"/>
        </w:rPr>
        <w:t>ДЛЯ ОСУЩЕСТВЛЕНИЯ ОРГАНАМИ МЕСТНОГО САМОУПРАВЛЕНИЯ</w:t>
      </w:r>
    </w:p>
    <w:p w:rsidR="00133AAF" w:rsidRP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33AAF">
        <w:rPr>
          <w:rFonts w:ascii="Arial" w:hAnsi="Arial" w:cs="Arial"/>
          <w:i w:val="0"/>
          <w:sz w:val="20"/>
          <w:szCs w:val="20"/>
          <w:lang w:val="ru-RU" w:eastAsia="en-US"/>
        </w:rPr>
        <w:t>ГОСУДАРСТВЕННЫХ ПОЛНОМОЧИЙ РЕСПУБЛИКИ ТАТАРСТАН</w:t>
      </w:r>
    </w:p>
    <w:p w:rsidR="00133AAF" w:rsidRP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33AAF">
        <w:rPr>
          <w:rFonts w:ascii="Arial" w:hAnsi="Arial" w:cs="Arial"/>
          <w:i w:val="0"/>
          <w:sz w:val="20"/>
          <w:szCs w:val="20"/>
          <w:lang w:val="ru-RU" w:eastAsia="en-US"/>
        </w:rPr>
        <w:t>ПО СОЗДАНИЮ И ОРГАНИЗАЦИИ ДЕЯТЕЛЬНОСТИ КОМИССИЙ</w:t>
      </w:r>
    </w:p>
    <w:p w:rsidR="00133AAF" w:rsidRPr="00133AAF" w:rsidRDefault="00133AAF" w:rsidP="00133AAF">
      <w:pPr>
        <w:pStyle w:val="2"/>
        <w:keepNext w:val="0"/>
        <w:autoSpaceDE w:val="0"/>
        <w:autoSpaceDN w:val="0"/>
        <w:adjustRightInd w:val="0"/>
        <w:spacing w:before="0"/>
        <w:jc w:val="center"/>
        <w:rPr>
          <w:rFonts w:ascii="Arial" w:hAnsi="Arial" w:cs="Arial"/>
          <w:i w:val="0"/>
          <w:sz w:val="20"/>
          <w:szCs w:val="20"/>
          <w:lang w:val="ru-RU" w:eastAsia="en-US"/>
        </w:rPr>
      </w:pPr>
      <w:r w:rsidRPr="00133AAF">
        <w:rPr>
          <w:rFonts w:ascii="Arial" w:hAnsi="Arial" w:cs="Arial"/>
          <w:i w:val="0"/>
          <w:sz w:val="20"/>
          <w:szCs w:val="20"/>
          <w:lang w:val="ru-RU" w:eastAsia="en-US"/>
        </w:rPr>
        <w:t>ПО ДЕЛАМ НЕСОВЕРШЕННОЛЕТНИХ И ЗАЩИТЕ ИХ ПРАВ</w:t>
      </w:r>
    </w:p>
    <w:p w:rsidR="00133AAF" w:rsidRDefault="00133AAF" w:rsidP="00133AAF">
      <w:pPr>
        <w:autoSpaceDE w:val="0"/>
        <w:autoSpaceDN w:val="0"/>
        <w:adjustRightInd w:val="0"/>
        <w:rPr>
          <w:rFonts w:ascii="Arial" w:hAnsi="Arial" w:cs="Arial"/>
          <w:lang w:val="ru-RU"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352"/>
        <w:gridCol w:w="113"/>
      </w:tblGrid>
      <w:tr w:rsidR="00133A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33AAF" w:rsidRDefault="00133AAF" w:rsidP="00133AAF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3AAF" w:rsidRDefault="00133AAF" w:rsidP="00133AAF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en-US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33AAF" w:rsidRDefault="00133AAF" w:rsidP="00133A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Список изменяющих документов</w:t>
            </w:r>
          </w:p>
          <w:p w:rsidR="00133AAF" w:rsidRDefault="00133AAF" w:rsidP="00133A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proofErr w:type="gramStart"/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(в ред. Законов РТ от 27.09.2019 </w:t>
            </w:r>
            <w:hyperlink r:id="rId41" w:history="1">
              <w:r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72-ЗРТ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, от 19.11.2020 </w:t>
            </w:r>
            <w:hyperlink r:id="rId42" w:history="1">
              <w:r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75-ЗРТ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,</w:t>
            </w:r>
            <w:proofErr w:type="gramEnd"/>
          </w:p>
          <w:p w:rsidR="00133AAF" w:rsidRDefault="00133AAF" w:rsidP="00133A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 xml:space="preserve">от 26.10.2023 </w:t>
            </w:r>
            <w:hyperlink r:id="rId43" w:history="1">
              <w:r>
                <w:rPr>
                  <w:rFonts w:ascii="Arial" w:hAnsi="Arial" w:cs="Arial"/>
                  <w:color w:val="0000FF"/>
                  <w:sz w:val="20"/>
                  <w:szCs w:val="20"/>
                  <w:lang w:val="ru-RU" w:eastAsia="en-US"/>
                </w:rPr>
                <w:t>N 96-ЗРТ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3AAF" w:rsidRDefault="00133AAF" w:rsidP="00133A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20"/>
                <w:szCs w:val="20"/>
                <w:lang w:val="ru-RU" w:eastAsia="en-US"/>
              </w:rPr>
            </w:pPr>
          </w:p>
        </w:tc>
      </w:tr>
    </w:tbl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1. Настоящая Методика предназначена для определения объема субвенций,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государственных полномочий.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2. Общий объем субвенций, предоставляемых бюджетам муниципальных образований для осуществления государственных полномочий (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С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общ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), определяется по формуле:</w:t>
      </w:r>
    </w:p>
    <w:p w:rsidR="00133AAF" w:rsidRDefault="00133AAF" w:rsidP="00133AAF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noProof/>
          <w:position w:val="-23"/>
          <w:sz w:val="20"/>
          <w:szCs w:val="20"/>
          <w:lang w:val="ru-RU"/>
        </w:rPr>
        <w:lastRenderedPageBreak/>
        <w:drawing>
          <wp:inline distT="0" distB="0" distL="0" distR="0">
            <wp:extent cx="838200" cy="4292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С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- объем субвенции, предоставляемой бюджету i-го муниципального образования;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n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- число муниципальных образований, наделенных государственными полномочиями.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3. Объем субвенции, предоставляемой бюджету i-го муниципального образования, определяется по формуле:</w:t>
      </w:r>
    </w:p>
    <w:p w:rsidR="00133AAF" w:rsidRDefault="00133AAF" w:rsidP="00133AAF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С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=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Н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Ч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,</w:t>
      </w: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Н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- нормативные затраты на одного ответственного секретаря, специалиста комиссии по делам несовершеннолетних и защите их прав, работающих в органе местного самоуправления муниципального образования на постоянной штатной основе (далее - специалист муниципальной комиссии), в i-м муниципальном образовании;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Ч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- нормативная численность специалистов муниципальной комиссии в i-м муниципальном образовании, определяемая в порядке, устанавливаемом Кабинетом Министров Республики Татарстан.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45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4. Расчет нормативных затрат на одного специалиста муниципальной комиссии в i-м муниципальном образовании производится по формуле:</w:t>
      </w:r>
    </w:p>
    <w:p w:rsidR="00133AAF" w:rsidRDefault="00133AAF" w:rsidP="00133AAF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Н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=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Z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+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N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+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М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,</w:t>
      </w:r>
    </w:p>
    <w:p w:rsidR="00133AAF" w:rsidRDefault="00133AAF" w:rsidP="00133AAF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где:</w:t>
      </w:r>
    </w:p>
    <w:p w:rsidR="00133AAF" w:rsidRDefault="00133AAF" w:rsidP="00133AAF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Z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- нормативные затраты на оплату труда одного специалиста муниципальной комиссии в i-м муниципальном образовании, определяемые в соответствии с нормативными правовыми актами Республики Татарстан по должности: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46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"главный специалист" - для ответственного секретаря муниципальной комиссии по делам несовершеннолетних и защите их прав;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47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"ведущий специалист" - для специалиста муниципальной комиссии по делам несовершеннолетних и защите их прав;</w:t>
      </w:r>
    </w:p>
    <w:p w:rsidR="00133AAF" w:rsidRDefault="00133AAF" w:rsidP="00133AA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(в ред. </w:t>
      </w:r>
      <w:hyperlink r:id="rId48" w:history="1">
        <w:r>
          <w:rPr>
            <w:rFonts w:ascii="Arial" w:hAnsi="Arial" w:cs="Arial"/>
            <w:color w:val="0000FF"/>
            <w:sz w:val="20"/>
            <w:szCs w:val="20"/>
            <w:lang w:val="ru-RU" w:eastAsia="en-US"/>
          </w:rPr>
          <w:t>Закона</w:t>
        </w:r>
      </w:hyperlink>
      <w:r>
        <w:rPr>
          <w:rFonts w:ascii="Arial" w:hAnsi="Arial" w:cs="Arial"/>
          <w:sz w:val="20"/>
          <w:szCs w:val="20"/>
          <w:lang w:val="ru-RU" w:eastAsia="en-US"/>
        </w:rPr>
        <w:t xml:space="preserve"> РТ от 26.10.2023 N 96-ЗРТ)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N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- затраты на начисления на выплаты по оплате труда одного специалиста муниципальной комиссии в i-м муниципальном образовании;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М</w:t>
      </w:r>
      <w:proofErr w:type="gramStart"/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  <w:lang w:val="ru-RU" w:eastAsia="en-US"/>
        </w:rPr>
        <w:t xml:space="preserve"> - затраты на материальное обеспечение в расчете на одного специалиста муниципальной комиссии в i-м муниципальном образовании.</w:t>
      </w:r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5. </w:t>
      </w:r>
      <w:proofErr w:type="gramStart"/>
      <w:r>
        <w:rPr>
          <w:rFonts w:ascii="Arial" w:hAnsi="Arial" w:cs="Arial"/>
          <w:sz w:val="20"/>
          <w:szCs w:val="20"/>
          <w:lang w:val="ru-RU" w:eastAsia="en-US"/>
        </w:rPr>
        <w:t xml:space="preserve">Затраты на оплату труда одного специалиста муниципальной комиссии в i-м муниципальном образовании определяются в соответствии с нормативными правовыми актами Российской Федерации и Республики Татарстан и рассчитываются исходя из объема указанных затрат, предусмотренного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i-му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муниципальному образованию на текущий финансовый год Законом Республики Татарстан о бюджете Республики Татарстан, с применением индексов увеличения заработной платы на очередной финансовый год и плановый период.</w:t>
      </w:r>
      <w:proofErr w:type="gramEnd"/>
    </w:p>
    <w:p w:rsid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>6. Расчет затрат на начисления на выплаты по оплате труда одного специалиста муниципальной комиссии в i-м муниципальном образовании производится по формуле:</w:t>
      </w:r>
    </w:p>
    <w:p w:rsidR="00133AAF" w:rsidRDefault="00133AAF" w:rsidP="00133AAF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 w:eastAsia="en-US"/>
        </w:rPr>
      </w:pP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N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=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Z</w:t>
      </w:r>
      <w:r>
        <w:rPr>
          <w:rFonts w:ascii="Arial" w:hAnsi="Arial" w:cs="Arial"/>
          <w:sz w:val="20"/>
          <w:szCs w:val="20"/>
          <w:vertAlign w:val="subscript"/>
          <w:lang w:val="ru-RU" w:eastAsia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x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Снз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>,</w:t>
      </w:r>
    </w:p>
    <w:p w:rsidR="00133AAF" w:rsidRDefault="00133AAF" w:rsidP="00133A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val="ru-RU" w:eastAsia="en-US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где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Снз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- ставка начислений на выплаты по оплате труда.</w:t>
      </w:r>
    </w:p>
    <w:p w:rsidR="00F424E9" w:rsidRPr="00133AAF" w:rsidRDefault="00133AAF" w:rsidP="00133AAF">
      <w:pPr>
        <w:autoSpaceDE w:val="0"/>
        <w:autoSpaceDN w:val="0"/>
        <w:adjustRightInd w:val="0"/>
        <w:spacing w:before="200"/>
        <w:ind w:firstLine="540"/>
        <w:jc w:val="both"/>
        <w:rPr>
          <w:szCs w:val="28"/>
          <w:lang w:val="ru-RU"/>
        </w:rPr>
      </w:pPr>
      <w:r>
        <w:rPr>
          <w:rFonts w:ascii="Arial" w:hAnsi="Arial" w:cs="Arial"/>
          <w:sz w:val="20"/>
          <w:szCs w:val="20"/>
          <w:lang w:val="ru-RU" w:eastAsia="en-US"/>
        </w:rPr>
        <w:t xml:space="preserve">7. Затраты на материальное обеспечение в расчете на одного специалиста муниципальной комиссии в i-м муниципальном образовании включают в себя затраты на приобретение расходных материалов, оплату командировок, коммунальных услуг и услуг связи и рассчитываются исходя из объема указанных затрат, предусмотренного </w:t>
      </w:r>
      <w:proofErr w:type="spellStart"/>
      <w:r>
        <w:rPr>
          <w:rFonts w:ascii="Arial" w:hAnsi="Arial" w:cs="Arial"/>
          <w:sz w:val="20"/>
          <w:szCs w:val="20"/>
          <w:lang w:val="ru-RU" w:eastAsia="en-US"/>
        </w:rPr>
        <w:t>i-му</w:t>
      </w:r>
      <w:proofErr w:type="spellEnd"/>
      <w:r>
        <w:rPr>
          <w:rFonts w:ascii="Arial" w:hAnsi="Arial" w:cs="Arial"/>
          <w:sz w:val="20"/>
          <w:szCs w:val="20"/>
          <w:lang w:val="ru-RU" w:eastAsia="en-US"/>
        </w:rPr>
        <w:t xml:space="preserve"> муниципальному образованию на текущий финансовый год Законом Республики Татарстан о бюджете Республики Татарстан, с применением индексов-дефляторов в соответствии с основными показателями прогноза социально-экономического развития Российской Федерации на очередной финансовый год и плановый период.</w:t>
      </w:r>
      <w:r w:rsidRPr="00133AAF">
        <w:rPr>
          <w:szCs w:val="28"/>
          <w:lang w:val="ru-RU"/>
        </w:rPr>
        <w:t xml:space="preserve"> </w:t>
      </w:r>
    </w:p>
    <w:sectPr w:rsidR="00F424E9" w:rsidRPr="00133AAF" w:rsidSect="00133AAF">
      <w:headerReference w:type="default" r:id="rId49"/>
      <w:pgSz w:w="11906" w:h="16838"/>
      <w:pgMar w:top="907" w:right="1134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5A9" w:rsidRDefault="000015A9" w:rsidP="000015A9">
      <w:r>
        <w:separator/>
      </w:r>
    </w:p>
  </w:endnote>
  <w:endnote w:type="continuationSeparator" w:id="0">
    <w:p w:rsidR="000015A9" w:rsidRDefault="000015A9" w:rsidP="00001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5A9" w:rsidRDefault="000015A9" w:rsidP="000015A9">
      <w:r>
        <w:separator/>
      </w:r>
    </w:p>
  </w:footnote>
  <w:footnote w:type="continuationSeparator" w:id="0">
    <w:p w:rsidR="000015A9" w:rsidRDefault="000015A9" w:rsidP="000015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3642757"/>
      <w:docPartObj>
        <w:docPartGallery w:val="Page Numbers (Top of Page)"/>
        <w:docPartUnique/>
      </w:docPartObj>
    </w:sdtPr>
    <w:sdtContent>
      <w:p w:rsidR="000015A9" w:rsidRPr="000015A9" w:rsidRDefault="00FB6711" w:rsidP="000015A9">
        <w:pPr>
          <w:pStyle w:val="a6"/>
          <w:jc w:val="center"/>
        </w:pPr>
        <w:r>
          <w:fldChar w:fldCharType="begin"/>
        </w:r>
        <w:r w:rsidR="000015A9">
          <w:instrText>PAGE   \* MERGEFORMAT</w:instrText>
        </w:r>
        <w:r>
          <w:fldChar w:fldCharType="separate"/>
        </w:r>
        <w:r w:rsidR="00133AAF" w:rsidRPr="00133AAF">
          <w:rPr>
            <w:noProof/>
            <w:lang w:val="ru-RU"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15A9"/>
    <w:rsid w:val="000015A9"/>
    <w:rsid w:val="000046D5"/>
    <w:rsid w:val="000725F9"/>
    <w:rsid w:val="00080C8D"/>
    <w:rsid w:val="000C4827"/>
    <w:rsid w:val="00133AAF"/>
    <w:rsid w:val="003E5F23"/>
    <w:rsid w:val="00441101"/>
    <w:rsid w:val="00452ADF"/>
    <w:rsid w:val="00557AA7"/>
    <w:rsid w:val="00761B3D"/>
    <w:rsid w:val="007A71E2"/>
    <w:rsid w:val="007E51A7"/>
    <w:rsid w:val="0082478F"/>
    <w:rsid w:val="00836400"/>
    <w:rsid w:val="00931A9A"/>
    <w:rsid w:val="00946611"/>
    <w:rsid w:val="009F582B"/>
    <w:rsid w:val="00A50815"/>
    <w:rsid w:val="00A76FB4"/>
    <w:rsid w:val="00AE0DDF"/>
    <w:rsid w:val="00B87C55"/>
    <w:rsid w:val="00BF7542"/>
    <w:rsid w:val="00CB0E57"/>
    <w:rsid w:val="00CD244F"/>
    <w:rsid w:val="00D80E56"/>
    <w:rsid w:val="00E550AC"/>
    <w:rsid w:val="00E60E6F"/>
    <w:rsid w:val="00F424E9"/>
    <w:rsid w:val="00FB6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23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3E5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5F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E5F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F2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E5F2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5F2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E5F2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E5F2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3E5F2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F2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E5F2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E5F2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E5F2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E5F2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E5F2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3E5F2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E5F2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E5F2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3E5F2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E5F2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3E5F23"/>
    <w:pPr>
      <w:ind w:left="720"/>
      <w:contextualSpacing/>
    </w:pPr>
  </w:style>
  <w:style w:type="paragraph" w:customStyle="1" w:styleId="ConsPlusNormal">
    <w:name w:val="ConsPlusNormal"/>
    <w:rsid w:val="000015A9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0015A9"/>
    <w:pPr>
      <w:widowControl w:val="0"/>
      <w:autoSpaceDE w:val="0"/>
      <w:autoSpaceDN w:val="0"/>
    </w:pPr>
    <w:rPr>
      <w:b/>
      <w:sz w:val="24"/>
      <w:lang w:eastAsia="ru-RU"/>
    </w:rPr>
  </w:style>
  <w:style w:type="paragraph" w:styleId="a6">
    <w:name w:val="header"/>
    <w:basedOn w:val="a"/>
    <w:link w:val="a7"/>
    <w:uiPriority w:val="99"/>
    <w:unhideWhenUsed/>
    <w:rsid w:val="00001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015A9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001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15A9"/>
    <w:rPr>
      <w:sz w:val="24"/>
      <w:szCs w:val="24"/>
      <w:lang w:val="tt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A71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71E2"/>
    <w:rPr>
      <w:rFonts w:ascii="Tahoma" w:hAnsi="Tahoma" w:cs="Tahoma"/>
      <w:sz w:val="16"/>
      <w:szCs w:val="16"/>
      <w:lang w:val="tt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23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3E5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5F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E5F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F2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E5F2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5F2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E5F2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E5F2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3E5F2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F2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E5F2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E5F2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E5F2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E5F2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E5F2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3E5F2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E5F2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E5F2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3E5F2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E5F2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3E5F23"/>
    <w:pPr>
      <w:ind w:left="720"/>
      <w:contextualSpacing/>
    </w:pPr>
  </w:style>
  <w:style w:type="paragraph" w:customStyle="1" w:styleId="ConsPlusNormal">
    <w:name w:val="ConsPlusNormal"/>
    <w:rsid w:val="000015A9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0015A9"/>
    <w:pPr>
      <w:widowControl w:val="0"/>
      <w:autoSpaceDE w:val="0"/>
      <w:autoSpaceDN w:val="0"/>
    </w:pPr>
    <w:rPr>
      <w:b/>
      <w:sz w:val="24"/>
      <w:lang w:eastAsia="ru-RU"/>
    </w:rPr>
  </w:style>
  <w:style w:type="paragraph" w:styleId="a6">
    <w:name w:val="header"/>
    <w:basedOn w:val="a"/>
    <w:link w:val="a7"/>
    <w:uiPriority w:val="99"/>
    <w:unhideWhenUsed/>
    <w:rsid w:val="00001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015A9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001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15A9"/>
    <w:rPr>
      <w:sz w:val="24"/>
      <w:szCs w:val="24"/>
      <w:lang w:val="tt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A71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71E2"/>
    <w:rPr>
      <w:rFonts w:ascii="Tahoma" w:hAnsi="Tahoma" w:cs="Tahoma"/>
      <w:sz w:val="16"/>
      <w:szCs w:val="16"/>
      <w:lang w:val="tt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09B0EE304AB396892123C7E4D9C4D3198C31611468D839A4D44B193B19669D56B498A063029D2AFA8ABA2267517EB92FE444614B8CCE5FBA0A5FC596278H" TargetMode="External"/><Relationship Id="rId18" Type="http://schemas.openxmlformats.org/officeDocument/2006/relationships/hyperlink" Target="consultantplus://offline/ref=E09B0EE304AB396892123C7E4D9C4D3198C31611468D839A4D44B193B19669D56B498A063029D2AFA8ABA2277017EB92FE444614B8CCE5FBA0A5FC596278H" TargetMode="External"/><Relationship Id="rId26" Type="http://schemas.openxmlformats.org/officeDocument/2006/relationships/hyperlink" Target="consultantplus://offline/ref=E09B0EE304AB396892123C7E4D9C4D3198C316114F8980974C46EC99B9CF65D76C46D5113760DEAEA8ABA4277948EE87EF1C4B17A5D3E5E4BCA7FE6578H" TargetMode="External"/><Relationship Id="rId39" Type="http://schemas.openxmlformats.org/officeDocument/2006/relationships/hyperlink" Target="consultantplus://offline/ref=E09B0EE304AB396892123C7E4D9C4D3198C31611468D829A4B4AB193B19669D56B498A063029D2AFA8ABA1257317EB92FE444614B8CCE5FBA0A5FC596278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09B0EE304AB396892123C7E4D9C4D3198C31611468D839A4D44B193B19669D56B498A063029D2AFA8ABA2277717EB92FE444614B8CCE5FBA0A5FC596278H" TargetMode="External"/><Relationship Id="rId34" Type="http://schemas.openxmlformats.org/officeDocument/2006/relationships/hyperlink" Target="consultantplus://offline/ref=E09B0EE304AB396892123C7E4D9C4D3198C31611468C8B9E4748B193B19669D56B498A063029D2AFA8ABA2257017EB92FE444614B8CCE5FBA0A5FC596278H" TargetMode="External"/><Relationship Id="rId42" Type="http://schemas.openxmlformats.org/officeDocument/2006/relationships/hyperlink" Target="consultantplus://offline/ref=E09B0EE304AB396892123C7E4D9C4D3198C31611468D839A4D44B193B19669D56B498A063029D2AFA8ABA2277B17EB92FE444614B8CCE5FBA0A5FC596278H" TargetMode="External"/><Relationship Id="rId47" Type="http://schemas.openxmlformats.org/officeDocument/2006/relationships/hyperlink" Target="consultantplus://offline/ref=E09B0EE304AB396892123C7E4D9C4D3198C31611468F8A9D4745B193B19669D56B498A063029D2AFA8ABA2237517EB92FE444614B8CCE5FBA0A5FC596278H" TargetMode="External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E09B0EE304AB396892123C7E4D9C4D3198C31611408B80964D46EC99B9CF65D76C46D5113760DEAEA8ABA2217948EE87EF1C4B17A5D3E5E4BCA7FE6578H" TargetMode="External"/><Relationship Id="rId12" Type="http://schemas.openxmlformats.org/officeDocument/2006/relationships/hyperlink" Target="consultantplus://offline/ref=E09B0EE304AB396892123C7E4D9C4D3198C31611468C8B9E4748B193B19669D56B498A063029D2AFA8ABA2247517EB92FE444614B8CCE5FBA0A5FC596278H" TargetMode="External"/><Relationship Id="rId17" Type="http://schemas.openxmlformats.org/officeDocument/2006/relationships/hyperlink" Target="consultantplus://offline/ref=E09B0EE304AB396892123C7E4D9C4D3198C31611468D839A4D44B193B19669D56B498A063029D2AFA8ABA2277317EB92FE444614B8CCE5FBA0A5FC596278H" TargetMode="External"/><Relationship Id="rId25" Type="http://schemas.openxmlformats.org/officeDocument/2006/relationships/hyperlink" Target="consultantplus://offline/ref=E09B0EE304AB396892123C7E4D9C4D3198C31611468C80974B44B193B19669D56B498A063029D2AFA8ABA3247017EB92FE444614B8CCE5FBA0A5FC596278H" TargetMode="External"/><Relationship Id="rId33" Type="http://schemas.openxmlformats.org/officeDocument/2006/relationships/hyperlink" Target="consultantplus://offline/ref=E09B0EE304AB396892123C7E4D9C4D3198C31611468C8B9E4748B193B19669D56B498A063029D2AFA8ABA2257217EB92FE444614B8CCE5FBA0A5FC596278H" TargetMode="External"/><Relationship Id="rId38" Type="http://schemas.openxmlformats.org/officeDocument/2006/relationships/hyperlink" Target="consultantplus://offline/ref=E09B0EE304AB396892123C7E4D9C4D3198C31611468D839A4D44B193B19669D56B498A063029D2AFA8ABA2277517EB92FE444614B8CCE5FBA0A5FC596278H" TargetMode="External"/><Relationship Id="rId46" Type="http://schemas.openxmlformats.org/officeDocument/2006/relationships/hyperlink" Target="consultantplus://offline/ref=E09B0EE304AB396892123C7E4D9C4D3198C31611468F8A9D4745B193B19669D56B498A063029D2AFA8ABA2237717EB92FE444614B8CCE5FBA0A5FC596278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09B0EE304AB396892123C7E4D9C4D3198C31611468D839A4D44B193B19669D56B498A063029D2AFA8ABA2267B17EB92FE444614B8CCE5FBA0A5FC596278H" TargetMode="External"/><Relationship Id="rId20" Type="http://schemas.openxmlformats.org/officeDocument/2006/relationships/hyperlink" Target="consultantplus://offline/ref=E09B0EE304AB396892123C7E4D9C4D3198C31611468D839A4D44B193B19669D56B498A063029D2AFA8ABA2277617EB92FE444614B8CCE5FBA0A5FC596278H" TargetMode="External"/><Relationship Id="rId29" Type="http://schemas.openxmlformats.org/officeDocument/2006/relationships/hyperlink" Target="consultantplus://offline/ref=E09B0EE304AB396892123C7E4D9C4D3198C31611468C8B9E4748B193B19669D56B498A063029D2AFA8ABA2247A17EB92FE444614B8CCE5FBA0A5FC596278H" TargetMode="External"/><Relationship Id="rId41" Type="http://schemas.openxmlformats.org/officeDocument/2006/relationships/hyperlink" Target="consultantplus://offline/ref=E09B0EE304AB396892123C7E4D9C4D3198C31611468C80974B44B193B19669D56B498A063029D2AFA8ABA3247117EB92FE444614B8CCE5FBA0A5FC596278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09B0EE304AB396892123C7E4D9C4D3198C316114F8980974C46EC99B9CF65D76C46D5113760DEAEA8ABA4267948EE87EF1C4B17A5D3E5E4BCA7FE6578H" TargetMode="External"/><Relationship Id="rId11" Type="http://schemas.openxmlformats.org/officeDocument/2006/relationships/hyperlink" Target="consultantplus://offline/ref=E09B0EE304AB396892123C7E4D9C4D3198C31611468C80974B44B193B19669D56B498A063029D2AFA8ABA3277517EB92FE444614B8CCE5FBA0A5FC596278H" TargetMode="External"/><Relationship Id="rId24" Type="http://schemas.openxmlformats.org/officeDocument/2006/relationships/hyperlink" Target="consultantplus://offline/ref=E09B0EE304AB396892123C7E4D9C4D3198C31611468D839A4D44B193B19669D56B498A063029D2AFA8ABA2277417EB92FE444614B8CCE5FBA0A5FC596278H" TargetMode="External"/><Relationship Id="rId32" Type="http://schemas.openxmlformats.org/officeDocument/2006/relationships/hyperlink" Target="consultantplus://offline/ref=E09B0EE304AB3968921222735BF0103A9FCD4C1E458189C81319B7C4EEC66F802B098C53736DD7AFA0A0F6773649B2C3B90F4A15A5D0E4F86B7DH" TargetMode="External"/><Relationship Id="rId37" Type="http://schemas.openxmlformats.org/officeDocument/2006/relationships/hyperlink" Target="consultantplus://offline/ref=E09B0EE304AB396892123C7E4D9C4D3198C316114F8980974C46EC99B9CF65D76C46D5113760DEAEA8ABAA227948EE87EF1C4B17A5D3E5E4BCA7FE6578H" TargetMode="External"/><Relationship Id="rId40" Type="http://schemas.openxmlformats.org/officeDocument/2006/relationships/hyperlink" Target="consultantplus://offline/ref=E09B0EE304AB396892123C7E4D9C4D3198C31611468D839A4D44B193B19669D56B498A063029D2AFA8ABA2277A17EB92FE444614B8CCE5FBA0A5FC596278H" TargetMode="External"/><Relationship Id="rId45" Type="http://schemas.openxmlformats.org/officeDocument/2006/relationships/hyperlink" Target="consultantplus://offline/ref=E09B0EE304AB396892123C7E4D9C4D3198C31611468F8A9D4745B193B19669D56B498A063029D2AFA8ABA2237117EB92FE444614B8CCE5FBA0A5FC596278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E09B0EE304AB396892123C7E4D9C4D3198C316114F8B829D4E46EC99B9CF65D76C46D5113760DEAEAFAEA6237948EE87EF1C4B17A5D3E5E4BCA7FE6578H" TargetMode="External"/><Relationship Id="rId23" Type="http://schemas.openxmlformats.org/officeDocument/2006/relationships/hyperlink" Target="consultantplus://offline/ref=E09B0EE304AB396892123C7E4D9C4D3198C31611468C80974B44B193B19669D56B498A063029D2AFA8ABA3247217EB92FE444614B8CCE5FBA0A5FC596278H" TargetMode="External"/><Relationship Id="rId28" Type="http://schemas.openxmlformats.org/officeDocument/2006/relationships/hyperlink" Target="consultantplus://offline/ref=E09B0EE304AB3968921222735BF0103A9FCD4C1E458189C81319B7C4EEC66F802B098C53736DD7AFA0A0F6773649B2C3B90F4A15A5D0E4F86B7DH" TargetMode="External"/><Relationship Id="rId36" Type="http://schemas.openxmlformats.org/officeDocument/2006/relationships/hyperlink" Target="consultantplus://offline/ref=E09B0EE304AB396892123C7E4D9C4D3198C31611468C8B9E4748B193B19669D56B498A063029D2AFA8ABA2257617EB92FE444614B8CCE5FBA0A5FC596278H" TargetMode="External"/><Relationship Id="rId49" Type="http://schemas.openxmlformats.org/officeDocument/2006/relationships/header" Target="header1.xml"/><Relationship Id="rId10" Type="http://schemas.openxmlformats.org/officeDocument/2006/relationships/hyperlink" Target="consultantplus://offline/ref=E09B0EE304AB396892123C7E4D9C4D3198C31611468B859B4F4EB193B19669D56B498A063029D2AFA8ABA2267517EB92FE444614B8CCE5FBA0A5FC596278H" TargetMode="External"/><Relationship Id="rId19" Type="http://schemas.openxmlformats.org/officeDocument/2006/relationships/hyperlink" Target="consultantplus://offline/ref=E09B0EE304AB396892123C7E4D9C4D3198C31611468B859B4F4EB193B19669D56B498A063029D2AFA8ABA2267517EB92FE444614B8CCE5FBA0A5FC596278H" TargetMode="External"/><Relationship Id="rId31" Type="http://schemas.openxmlformats.org/officeDocument/2006/relationships/hyperlink" Target="consultantplus://offline/ref=E09B0EE304AB396892123C7E4D9C4D3198C316114F8980974C46EC99B9CF65D76C46D5113760DEAEA8ABA5267948EE87EF1C4B17A5D3E5E4BCA7FE6578H" TargetMode="External"/><Relationship Id="rId44" Type="http://schemas.openxmlformats.org/officeDocument/2006/relationships/image" Target="media/image1.wmf"/><Relationship Id="rId52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09B0EE304AB396892123C7E4D9C4D3198C316114F8885994946EC99B9CF65D76C46D5113760DEAEA8ABA2217948EE87EF1C4B17A5D3E5E4BCA7FE6578H" TargetMode="External"/><Relationship Id="rId14" Type="http://schemas.openxmlformats.org/officeDocument/2006/relationships/hyperlink" Target="consultantplus://offline/ref=E09B0EE304AB396892123C7E4D9C4D3198C31611468F8A9D4745B193B19669D56B498A063029D2AFA8ABA2237017EB92FE444614B8CCE5FBA0A5FC596278H" TargetMode="External"/><Relationship Id="rId22" Type="http://schemas.openxmlformats.org/officeDocument/2006/relationships/hyperlink" Target="consultantplus://offline/ref=E09B0EE304AB396892123C7E4D9C4D3198C31611468C80974B44B193B19669D56B498A063029D2AFA8ABA3277B17EB92FE444614B8CCE5FBA0A5FC596278H" TargetMode="External"/><Relationship Id="rId27" Type="http://schemas.openxmlformats.org/officeDocument/2006/relationships/hyperlink" Target="consultantplus://offline/ref=E09B0EE304AB396892123C7E4D9C4D3198C316114F8980974C46EC99B9CF65D76C46D5113760DEAEA8ABA4237948EE87EF1C4B17A5D3E5E4BCA7FE6578H" TargetMode="External"/><Relationship Id="rId30" Type="http://schemas.openxmlformats.org/officeDocument/2006/relationships/hyperlink" Target="consultantplus://offline/ref=E09B0EE304AB396892123C7E4D9C4D3198C316114F8980974C46EC99B9CF65D76C46D5113760DEAEA8ABA4217948EE87EF1C4B17A5D3E5E4BCA7FE6578H" TargetMode="External"/><Relationship Id="rId35" Type="http://schemas.openxmlformats.org/officeDocument/2006/relationships/hyperlink" Target="consultantplus://offline/ref=E09B0EE304AB3968921222735BF0103A9FCD4C1E458189C81319B7C4EEC66F802B098C53736DD7AFA0A0F6773649B2C3B90F4A15A5D0E4F86B7DH" TargetMode="External"/><Relationship Id="rId43" Type="http://schemas.openxmlformats.org/officeDocument/2006/relationships/hyperlink" Target="consultantplus://offline/ref=E09B0EE304AB396892123C7E4D9C4D3198C31611468F8A9D4745B193B19669D56B498A063029D2AFA8ABA2237017EB92FE444614B8CCE5FBA0A5FC596278H" TargetMode="External"/><Relationship Id="rId48" Type="http://schemas.openxmlformats.org/officeDocument/2006/relationships/hyperlink" Target="consultantplus://offline/ref=E09B0EE304AB396892123C7E4D9C4D3198C31611468F8A9D4745B193B19669D56B498A063029D2AFA8ABA2237A17EB92FE444614B8CCE5FBA0A5FC596278H" TargetMode="External"/><Relationship Id="rId8" Type="http://schemas.openxmlformats.org/officeDocument/2006/relationships/hyperlink" Target="consultantplus://offline/ref=E09B0EE304AB396892123C7E4D9C4D3198C31611468D829A4B4AB193B19669D56B498A063029D2AFA8ABA1257317EB92FE444614B8CCE5FBA0A5FC596278H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3832</Words>
  <Characters>21844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Алсу Назиповна Хусаинова</dc:creator>
  <cp:lastModifiedBy>azna-nafikova</cp:lastModifiedBy>
  <cp:revision>24</cp:revision>
  <cp:lastPrinted>2022-11-03T10:51:00Z</cp:lastPrinted>
  <dcterms:created xsi:type="dcterms:W3CDTF">2020-09-12T06:24:00Z</dcterms:created>
  <dcterms:modified xsi:type="dcterms:W3CDTF">2023-11-03T08:03:00Z</dcterms:modified>
</cp:coreProperties>
</file>