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B9F" w:rsidRDefault="00303A3F">
      <w:pPr>
        <w:widowControl w:val="0"/>
        <w:tabs>
          <w:tab w:val="left" w:pos="5969"/>
          <w:tab w:val="left" w:pos="6338"/>
          <w:tab w:val="left" w:pos="6981"/>
        </w:tabs>
        <w:spacing w:line="249" w:lineRule="auto"/>
        <w:ind w:left="5081" w:right="75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0" w:name="_page_5_0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Приложение №1 к постановлению руководителя исполнительного комитета Азнакаевского муниципального района от «</w:t>
      </w:r>
      <w:r w:rsidR="00B376A5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14» ноября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2014</w:t>
      </w:r>
      <w:r w:rsidR="00B376A5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года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№ </w:t>
      </w:r>
      <w:r w:rsidR="00B376A5">
        <w:rPr>
          <w:rFonts w:ascii="Times New Roman" w:eastAsia="Times New Roman" w:hAnsi="Times New Roman" w:cs="Times New Roman"/>
          <w:color w:val="000000"/>
          <w:sz w:val="23"/>
          <w:szCs w:val="23"/>
        </w:rPr>
        <w:t>236</w:t>
      </w: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after="9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2066C" w:rsidRDefault="00303A3F" w:rsidP="00D2066C">
      <w:pPr>
        <w:widowControl w:val="0"/>
        <w:spacing w:line="254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Муниципальная долгосрочная целевая программа </w:t>
      </w:r>
    </w:p>
    <w:p w:rsidR="00A86B89" w:rsidRDefault="00303A3F" w:rsidP="00D2066C">
      <w:pPr>
        <w:widowControl w:val="0"/>
        <w:spacing w:line="254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«Реализация государственной национальной политики</w:t>
      </w:r>
    </w:p>
    <w:p w:rsidR="00E85B9F" w:rsidRDefault="00B376A5" w:rsidP="00D2066C">
      <w:pPr>
        <w:widowControl w:val="0"/>
        <w:spacing w:line="254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в </w:t>
      </w:r>
      <w:r w:rsidR="00303A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Азнакаевском муниципальном районе на 2015-20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25</w:t>
      </w:r>
      <w:r w:rsidR="00303A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годы»</w:t>
      </w: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2066C" w:rsidRDefault="00D2066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2066C" w:rsidRDefault="00D2066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2066C" w:rsidRDefault="00D2066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5B9F" w:rsidRDefault="00E85B9F">
      <w:pPr>
        <w:spacing w:after="1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E85B9F" w:rsidRDefault="00303A3F">
      <w:pPr>
        <w:widowControl w:val="0"/>
        <w:spacing w:line="248" w:lineRule="auto"/>
        <w:ind w:left="4034" w:right="4303" w:hanging="33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sectPr w:rsidR="00E85B9F">
          <w:type w:val="continuous"/>
          <w:pgSz w:w="11965" w:h="16877"/>
          <w:pgMar w:top="1034" w:right="850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г. Азнакаево 2014 г.</w:t>
      </w:r>
      <w:bookmarkEnd w:id="0"/>
    </w:p>
    <w:p w:rsidR="00E85B9F" w:rsidRDefault="00303A3F" w:rsidP="00EC1872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bookmarkStart w:id="1" w:name="_page_6_0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ПАСПОРТ</w:t>
      </w:r>
    </w:p>
    <w:p w:rsidR="00EC1872" w:rsidRDefault="00303A3F" w:rsidP="00EC1872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муниципальной долгосрочной целевой программы </w:t>
      </w:r>
    </w:p>
    <w:p w:rsidR="00E85B9F" w:rsidRDefault="00303A3F" w:rsidP="00EC1872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«Реализация государственной национальной политики</w:t>
      </w:r>
    </w:p>
    <w:p w:rsidR="00E85B9F" w:rsidRDefault="00303A3F" w:rsidP="00EC1872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 Азнакаевском муниципальном районе на 2015-20</w:t>
      </w:r>
      <w:r w:rsidR="00A86B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2</w:t>
      </w:r>
      <w:r w:rsidR="00D2066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годы»</w:t>
      </w:r>
    </w:p>
    <w:tbl>
      <w:tblPr>
        <w:tblStyle w:val="a3"/>
        <w:tblpPr w:leftFromText="180" w:rightFromText="180" w:vertAnchor="text" w:horzAnchor="margin" w:tblpY="209"/>
        <w:tblW w:w="10031" w:type="dxa"/>
        <w:tblLook w:val="04A0"/>
      </w:tblPr>
      <w:tblGrid>
        <w:gridCol w:w="3936"/>
        <w:gridCol w:w="6095"/>
      </w:tblGrid>
      <w:tr w:rsidR="00EC1872" w:rsidRPr="00303A3F" w:rsidTr="00DD4674">
        <w:tc>
          <w:tcPr>
            <w:tcW w:w="3936" w:type="dxa"/>
          </w:tcPr>
          <w:p w:rsidR="00EC1872" w:rsidRPr="00303A3F" w:rsidRDefault="006549F5" w:rsidP="00C6098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программы         </w:t>
            </w:r>
          </w:p>
        </w:tc>
        <w:tc>
          <w:tcPr>
            <w:tcW w:w="6095" w:type="dxa"/>
          </w:tcPr>
          <w:p w:rsidR="00EC1872" w:rsidRPr="00303A3F" w:rsidRDefault="006549F5" w:rsidP="00D2066C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03A3F">
              <w:rPr>
                <w:rFonts w:ascii="Times New Roman" w:eastAsia="Times New Roman" w:hAnsi="Times New Roman" w:cs="Times New Roman"/>
                <w:color w:val="000000"/>
                <w:position w:val="1"/>
                <w:sz w:val="26"/>
                <w:szCs w:val="26"/>
              </w:rPr>
              <w:t xml:space="preserve">«Реализация </w:t>
            </w:r>
            <w:r w:rsidR="00350647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государственной национальной политики </w:t>
            </w:r>
            <w:r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350647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Азнакаевском муниципальном</w:t>
            </w:r>
            <w:r w:rsidR="000C716D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районе на 2015-20</w:t>
            </w:r>
            <w:r w:rsidR="00BE4CA7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D206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  <w:r w:rsidR="000C716D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годы».</w:t>
            </w:r>
          </w:p>
        </w:tc>
      </w:tr>
      <w:tr w:rsidR="006549F5" w:rsidRPr="00303A3F" w:rsidTr="00DD4674">
        <w:tc>
          <w:tcPr>
            <w:tcW w:w="3936" w:type="dxa"/>
          </w:tcPr>
          <w:p w:rsidR="00350647" w:rsidRPr="00303A3F" w:rsidRDefault="00350647" w:rsidP="00C6098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Основание для разработки программы</w:t>
            </w:r>
          </w:p>
          <w:p w:rsidR="006549F5" w:rsidRPr="00303A3F" w:rsidRDefault="006549F5" w:rsidP="00C6098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95" w:type="dxa"/>
          </w:tcPr>
          <w:p w:rsidR="006549F5" w:rsidRPr="00303A3F" w:rsidRDefault="000C716D" w:rsidP="00C6098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</w:t>
            </w:r>
            <w:r w:rsidR="00BE4CA7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едеральный закон от 06.10.2003 №</w:t>
            </w:r>
            <w:r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131-ФЗ «Об общих принципах организации местного самоуправления в Российской Федерации»</w:t>
            </w:r>
            <w:r w:rsidR="00BE4CA7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Указ Президента Российской Федерации от 19.12.2012 №1666</w:t>
            </w:r>
            <w:r w:rsidR="00BC1A47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«О Стратегии государственной национальной политики Российской Федерации на период до 2025</w:t>
            </w:r>
            <w:r w:rsidR="006C36EA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года», </w:t>
            </w:r>
            <w:r w:rsidR="00566986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Постановление Правительства Российской Федерации от 20.08</w:t>
            </w:r>
            <w:r w:rsidR="00F412C8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 w:rsidR="00566986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2013</w:t>
            </w:r>
            <w:r w:rsidR="00F412C8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№718 «О федеральной целевой программе «Укрепление единства российской нации и этнокультурное развитие народов России (2015 - 2020 годы)»</w:t>
            </w:r>
            <w:r w:rsidR="00D21DFC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Указ Президента Республики Татарстан</w:t>
            </w:r>
            <w:proofErr w:type="gramEnd"/>
            <w:r w:rsidR="00D21DFC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от 26.07.2015 года №УП-695 «О Концепции государственной национальной политики в Республике Татарстан</w:t>
            </w:r>
          </w:p>
        </w:tc>
      </w:tr>
      <w:tr w:rsidR="006549F5" w:rsidRPr="00303A3F" w:rsidTr="00DD4674">
        <w:tc>
          <w:tcPr>
            <w:tcW w:w="3936" w:type="dxa"/>
          </w:tcPr>
          <w:p w:rsidR="00052C63" w:rsidRPr="00303A3F" w:rsidRDefault="00052C63" w:rsidP="00C60989">
            <w:pPr>
              <w:widowControl w:val="0"/>
              <w:tabs>
                <w:tab w:val="left" w:pos="183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Основные</w:t>
            </w:r>
            <w:r w:rsidR="005450F9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разработчики программы</w:t>
            </w:r>
          </w:p>
          <w:p w:rsidR="006549F5" w:rsidRPr="00303A3F" w:rsidRDefault="006549F5" w:rsidP="00C6098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95" w:type="dxa"/>
          </w:tcPr>
          <w:p w:rsidR="006549F5" w:rsidRPr="00303A3F" w:rsidRDefault="00FE328F" w:rsidP="00C6098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Исполнительный</w:t>
            </w:r>
            <w:r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  <w:t>комитет Азнакаевского муниципального района,  Азнакаевский районный Совет РТ</w:t>
            </w:r>
          </w:p>
        </w:tc>
      </w:tr>
      <w:tr w:rsidR="00EC1872" w:rsidRPr="00303A3F" w:rsidTr="00DD4674">
        <w:tc>
          <w:tcPr>
            <w:tcW w:w="3936" w:type="dxa"/>
          </w:tcPr>
          <w:p w:rsidR="00EC1872" w:rsidRPr="00303A3F" w:rsidRDefault="00052C63" w:rsidP="00C6098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Исполнители программы</w:t>
            </w:r>
          </w:p>
        </w:tc>
        <w:tc>
          <w:tcPr>
            <w:tcW w:w="6095" w:type="dxa"/>
          </w:tcPr>
          <w:p w:rsidR="00EC1872" w:rsidRPr="00303A3F" w:rsidRDefault="005450F9" w:rsidP="00C60989">
            <w:pPr>
              <w:widowControl w:val="0"/>
              <w:tabs>
                <w:tab w:val="left" w:pos="1987"/>
                <w:tab w:val="left" w:pos="404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Исполнительный</w:t>
            </w:r>
            <w:r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  <w:t>комитет Азнакаевского муниципального района, Отдел по работе с общественностью и СМИ</w:t>
            </w:r>
            <w:r w:rsidR="00D4702F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Азнакаевского районного Совета (по согласованию), МКУ «Управление образования исполнительного комитета Азнакаевского муниципального района», </w:t>
            </w:r>
            <w:r w:rsidR="00692587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МКУ «Управление по делам молодежи </w:t>
            </w:r>
            <w:r w:rsidR="00FB7524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исполнительного </w:t>
            </w:r>
            <w:r w:rsidR="00692587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комитета Азнакаевского муниципального района»</w:t>
            </w:r>
            <w:r w:rsidR="00FB7524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МКУ «Управление культуры исполнительного комитета Азнакаевского муниципального района»,</w:t>
            </w:r>
            <w:r w:rsidR="0028367D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Отделение управления федеральной миграционной службы РФ по РТ в</w:t>
            </w:r>
            <w:r w:rsidR="007A104A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Азнакаевском районе (по согласованию), Отдел МВД России по</w:t>
            </w:r>
            <w:proofErr w:type="gramEnd"/>
            <w:r w:rsidR="007A104A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Азнакаевскому району (по согласованию), Средства массовой информации: </w:t>
            </w:r>
            <w:proofErr w:type="gramStart"/>
            <w:r w:rsidR="007A104A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ООО «Телерадиокомпания</w:t>
            </w:r>
            <w:r w:rsidR="003C39B6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«АРТ»</w:t>
            </w:r>
            <w:r w:rsidR="003C39B6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  <w:t xml:space="preserve">(по согласованию), </w:t>
            </w:r>
            <w:r w:rsidR="004E00A0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филиал ОАО « </w:t>
            </w:r>
            <w:proofErr w:type="spellStart"/>
            <w:r w:rsidR="004E00A0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Татмедиа</w:t>
            </w:r>
            <w:proofErr w:type="spellEnd"/>
            <w:r w:rsidR="004E00A0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 - газета «Маяк» (по согласованию), Общественные организации Азнакаевского муниципального района (по согласованию)</w:t>
            </w:r>
            <w:proofErr w:type="gramEnd"/>
          </w:p>
        </w:tc>
      </w:tr>
      <w:tr w:rsidR="00052C63" w:rsidRPr="00303A3F" w:rsidTr="00DD4674">
        <w:tc>
          <w:tcPr>
            <w:tcW w:w="3936" w:type="dxa"/>
          </w:tcPr>
          <w:p w:rsidR="00052C63" w:rsidRPr="00303A3F" w:rsidRDefault="00404F85" w:rsidP="00C6098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Цель программы</w:t>
            </w:r>
          </w:p>
        </w:tc>
        <w:tc>
          <w:tcPr>
            <w:tcW w:w="6095" w:type="dxa"/>
          </w:tcPr>
          <w:p w:rsidR="00052C63" w:rsidRPr="00303A3F" w:rsidRDefault="00C95E5C" w:rsidP="00C6098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Цели </w:t>
            </w:r>
            <w:r w:rsidR="00404F85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Программы </w:t>
            </w:r>
            <w:r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– </w:t>
            </w:r>
            <w:r w:rsidR="00404F85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</w:t>
            </w:r>
            <w:r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государственной национальной политики Республики Татарстан в Азнакаевском муниципальном районе</w:t>
            </w:r>
            <w:r w:rsidR="00FE58AA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цивилизованное развитие представителей народов, проживающих на территории района, сохранение </w:t>
            </w:r>
            <w:r w:rsidR="00FE58AA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межэтнического и межконфессионального</w:t>
            </w:r>
            <w:r w:rsidR="00AA245D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мира и согласия, упрочение общероссийской гражданской идентичности (российской нации), успешная </w:t>
            </w:r>
            <w:proofErr w:type="spellStart"/>
            <w:r w:rsidR="00AA245D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социокультурная</w:t>
            </w:r>
            <w:proofErr w:type="spellEnd"/>
            <w:r w:rsidR="00AA245D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адаптация и интеграция мигрантов.</w:t>
            </w:r>
            <w:r w:rsidR="00FE58AA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</w:tr>
      <w:tr w:rsidR="00404F85" w:rsidRPr="00303A3F" w:rsidTr="00DD4674">
        <w:tc>
          <w:tcPr>
            <w:tcW w:w="3936" w:type="dxa"/>
          </w:tcPr>
          <w:p w:rsidR="00404F85" w:rsidRPr="00303A3F" w:rsidRDefault="001728C9" w:rsidP="00C6098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Задачи программы</w:t>
            </w:r>
          </w:p>
        </w:tc>
        <w:tc>
          <w:tcPr>
            <w:tcW w:w="6095" w:type="dxa"/>
          </w:tcPr>
          <w:p w:rsidR="00404F85" w:rsidRPr="00303A3F" w:rsidRDefault="00A13AB6" w:rsidP="00C6098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Совершенствование взаимодействия государственных и муниципальных органов с институтами гражданского общества в сфере государственной национальной политики в Республике Татарстан;</w:t>
            </w:r>
          </w:p>
          <w:p w:rsidR="001D1FD3" w:rsidRPr="00303A3F" w:rsidRDefault="00A13AB6" w:rsidP="00C60989">
            <w:pPr>
              <w:widowControl w:val="0"/>
              <w:tabs>
                <w:tab w:val="left" w:pos="5696"/>
                <w:tab w:val="left" w:pos="7372"/>
              </w:tabs>
              <w:spacing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="001D1FD3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Содействие укреплению общероссийской гражданской идентичности, поддержка межэтнического и межконфессионального мира и согласия, создание условий для </w:t>
            </w:r>
            <w:proofErr w:type="spellStart"/>
            <w:r w:rsidR="001D1FD3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социокультурной</w:t>
            </w:r>
            <w:proofErr w:type="spellEnd"/>
            <w:r w:rsidR="001D1FD3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адаптации и интеграции мигрантов;</w:t>
            </w:r>
          </w:p>
          <w:p w:rsidR="00A13AB6" w:rsidRPr="00303A3F" w:rsidRDefault="008C20F9" w:rsidP="00C6098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Создание условий для этнокультурного </w:t>
            </w:r>
            <w:r w:rsidR="0024566F"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развития народов, проживающих в Азнакаевском муниципальном районе;</w:t>
            </w:r>
          </w:p>
          <w:p w:rsidR="0024566F" w:rsidRPr="00303A3F" w:rsidRDefault="001B188D" w:rsidP="00C60989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303A3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- Научно-образовательное и информационное обеспечение реализации государственной национальной политики в Азнакаевском муниципальном районе</w:t>
            </w:r>
          </w:p>
        </w:tc>
      </w:tr>
      <w:tr w:rsidR="001728C9" w:rsidRPr="00303A3F" w:rsidTr="00DD4674">
        <w:tc>
          <w:tcPr>
            <w:tcW w:w="3936" w:type="dxa"/>
          </w:tcPr>
          <w:p w:rsidR="001728C9" w:rsidRPr="00303A3F" w:rsidRDefault="00472E16" w:rsidP="00C6098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03A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Важнейшие целевые индикаторы и показатели Программы</w:t>
            </w:r>
          </w:p>
        </w:tc>
        <w:tc>
          <w:tcPr>
            <w:tcW w:w="6095" w:type="dxa"/>
          </w:tcPr>
          <w:p w:rsidR="00390AA6" w:rsidRPr="00303A3F" w:rsidRDefault="00390AA6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- доля жителей района, положительно оценивающих состояние межэтнических отношений в районе;</w:t>
            </w:r>
          </w:p>
          <w:p w:rsidR="00390AA6" w:rsidRPr="00303A3F" w:rsidRDefault="00390AA6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- уровень толерантного отношения к представителям другой национальности;</w:t>
            </w:r>
          </w:p>
          <w:p w:rsidR="00390AA6" w:rsidRPr="00303A3F" w:rsidRDefault="003D4460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390AA6" w:rsidRPr="00303A3F">
              <w:rPr>
                <w:rFonts w:ascii="Times New Roman" w:hAnsi="Times New Roman" w:cs="Times New Roman"/>
                <w:sz w:val="26"/>
                <w:szCs w:val="26"/>
              </w:rPr>
              <w:t>численность участников мероприятий,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0AA6" w:rsidRPr="00303A3F">
              <w:rPr>
                <w:rFonts w:ascii="Times New Roman" w:hAnsi="Times New Roman" w:cs="Times New Roman"/>
                <w:sz w:val="26"/>
                <w:szCs w:val="26"/>
              </w:rPr>
              <w:t>направленных на этнокультурное развитие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0AA6" w:rsidRPr="00303A3F">
              <w:rPr>
                <w:rFonts w:ascii="Times New Roman" w:hAnsi="Times New Roman" w:cs="Times New Roman"/>
                <w:sz w:val="26"/>
                <w:szCs w:val="26"/>
              </w:rPr>
              <w:t>народов республики и поддержку языкового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0AA6" w:rsidRPr="00303A3F">
              <w:rPr>
                <w:rFonts w:ascii="Times New Roman" w:hAnsi="Times New Roman" w:cs="Times New Roman"/>
                <w:sz w:val="26"/>
                <w:szCs w:val="26"/>
              </w:rPr>
              <w:t>многообразия;</w:t>
            </w:r>
          </w:p>
          <w:p w:rsidR="00390AA6" w:rsidRPr="00303A3F" w:rsidRDefault="003D4460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390AA6" w:rsidRPr="00303A3F">
              <w:rPr>
                <w:rFonts w:ascii="Times New Roman" w:hAnsi="Times New Roman" w:cs="Times New Roman"/>
                <w:sz w:val="26"/>
                <w:szCs w:val="26"/>
              </w:rPr>
              <w:t>доля жителей района, положительно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0AA6" w:rsidRPr="00303A3F">
              <w:rPr>
                <w:rFonts w:ascii="Times New Roman" w:hAnsi="Times New Roman" w:cs="Times New Roman"/>
                <w:sz w:val="26"/>
                <w:szCs w:val="26"/>
              </w:rPr>
              <w:t>оценивающих состояние межконфессиональных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0AA6" w:rsidRPr="00303A3F">
              <w:rPr>
                <w:rFonts w:ascii="Times New Roman" w:hAnsi="Times New Roman" w:cs="Times New Roman"/>
                <w:sz w:val="26"/>
                <w:szCs w:val="26"/>
              </w:rPr>
              <w:t>отношений в Республике Татарстан;</w:t>
            </w:r>
          </w:p>
          <w:p w:rsidR="001728C9" w:rsidRPr="00303A3F" w:rsidRDefault="00390AA6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- доля жителей района, удовлетворенных</w:t>
            </w:r>
            <w:r w:rsidR="003D4460"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реализацией своих этнокультурных</w:t>
            </w:r>
            <w:r w:rsidR="003D4460"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потребностей; </w:t>
            </w:r>
            <w:r w:rsidR="003D4460"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число программ по сохранению</w:t>
            </w:r>
            <w:r w:rsidR="003D4460"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гражданского единства и гармонизации</w:t>
            </w:r>
            <w:r w:rsidR="005131A3"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межэтнических отношений.</w:t>
            </w:r>
          </w:p>
        </w:tc>
      </w:tr>
      <w:tr w:rsidR="00472E16" w:rsidRPr="00303A3F" w:rsidTr="00DD4674">
        <w:tc>
          <w:tcPr>
            <w:tcW w:w="3936" w:type="dxa"/>
          </w:tcPr>
          <w:p w:rsidR="005131A3" w:rsidRPr="00303A3F" w:rsidRDefault="005131A3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Сроки и этапы реализации</w:t>
            </w:r>
          </w:p>
          <w:p w:rsidR="00472E16" w:rsidRPr="00303A3F" w:rsidRDefault="005131A3" w:rsidP="00C6098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095" w:type="dxa"/>
          </w:tcPr>
          <w:p w:rsidR="005131A3" w:rsidRPr="00303A3F" w:rsidRDefault="005131A3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2015 - 202</w:t>
            </w:r>
            <w:r w:rsidR="00DD467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  <w:p w:rsidR="005131A3" w:rsidRPr="00303A3F" w:rsidRDefault="005131A3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1 этап: 2015-20</w:t>
            </w:r>
            <w:r w:rsidR="00D831A0" w:rsidRPr="00303A3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годы.</w:t>
            </w:r>
          </w:p>
          <w:p w:rsidR="00472E16" w:rsidRPr="00303A3F" w:rsidRDefault="005131A3" w:rsidP="00DD4674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в том числе: 2 этап: 2017 - 202</w:t>
            </w:r>
            <w:r w:rsidR="00DD467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годы.</w:t>
            </w:r>
          </w:p>
        </w:tc>
      </w:tr>
      <w:tr w:rsidR="00D831A0" w:rsidRPr="00303A3F" w:rsidTr="00DD4674">
        <w:tc>
          <w:tcPr>
            <w:tcW w:w="3936" w:type="dxa"/>
          </w:tcPr>
          <w:p w:rsidR="00D831A0" w:rsidRPr="00303A3F" w:rsidRDefault="00D831A0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095" w:type="dxa"/>
          </w:tcPr>
          <w:p w:rsidR="00D831A0" w:rsidRPr="00303A3F" w:rsidRDefault="00D831A0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Программы составляет 4</w:t>
            </w:r>
            <w:r w:rsidR="00361B8F">
              <w:rPr>
                <w:rFonts w:ascii="Times New Roman" w:hAnsi="Times New Roman" w:cs="Times New Roman"/>
                <w:sz w:val="26"/>
                <w:szCs w:val="26"/>
              </w:rPr>
              <w:t> 427,7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рублей, в том числе по годам:</w:t>
            </w:r>
          </w:p>
          <w:p w:rsidR="00D831A0" w:rsidRPr="00303A3F" w:rsidRDefault="00BC04C2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2015г. – 612,</w:t>
            </w:r>
            <w:r w:rsidR="00D831A0" w:rsidRPr="00303A3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D831A0"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D831A0" w:rsidRPr="00303A3F" w:rsidRDefault="00D831A0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2016г. – 427</w:t>
            </w:r>
            <w:r w:rsidR="00BC04C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="00BC04C2"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D831A0" w:rsidRPr="00303A3F" w:rsidRDefault="00D831A0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2017г. – 7</w:t>
            </w:r>
            <w:r w:rsidR="00BC04C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61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C04C2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D831A0" w:rsidRPr="00303A3F" w:rsidRDefault="00D831A0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2018г. – 0,0</w:t>
            </w:r>
            <w:r w:rsidR="00BC04C2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D831A0" w:rsidRPr="00303A3F" w:rsidRDefault="00BC04C2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2019г. –</w:t>
            </w:r>
            <w:r w:rsidR="000304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1 495,0 тыс.</w:t>
            </w:r>
            <w:r w:rsidR="00D831A0"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D831A0" w:rsidRPr="00303A3F" w:rsidRDefault="00D831A0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2020г. – 286</w:t>
            </w:r>
            <w:r w:rsidR="00AE006A">
              <w:rPr>
                <w:rFonts w:ascii="Times New Roman" w:hAnsi="Times New Roman" w:cs="Times New Roman"/>
                <w:sz w:val="26"/>
                <w:szCs w:val="26"/>
              </w:rPr>
              <w:t>,3 тыс.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D831A0" w:rsidRPr="00303A3F" w:rsidRDefault="00D831A0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2021г. – 0,0 </w:t>
            </w:r>
            <w:r w:rsidR="00AE006A"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D831A0" w:rsidRPr="00303A3F" w:rsidRDefault="00D831A0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2022г. – 283</w:t>
            </w:r>
            <w:r w:rsidR="00AE006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E006A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D831A0" w:rsidRPr="00303A3F" w:rsidRDefault="00D831A0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2023г. – </w:t>
            </w:r>
            <w:r w:rsidR="00BC04C2">
              <w:rPr>
                <w:rFonts w:ascii="Times New Roman" w:hAnsi="Times New Roman" w:cs="Times New Roman"/>
                <w:sz w:val="26"/>
                <w:szCs w:val="26"/>
              </w:rPr>
              <w:t>324</w:t>
            </w:r>
            <w:r w:rsidR="00AE006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C04C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E006A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D831A0" w:rsidRPr="00303A3F" w:rsidRDefault="00D831A0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2024г. – </w:t>
            </w:r>
            <w:r w:rsidR="006D4B5D">
              <w:rPr>
                <w:rFonts w:ascii="Times New Roman" w:hAnsi="Times New Roman" w:cs="Times New Roman"/>
                <w:sz w:val="26"/>
                <w:szCs w:val="26"/>
              </w:rPr>
              <w:t>327,5</w:t>
            </w:r>
            <w:r w:rsidR="000304F5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D831A0" w:rsidRDefault="000304F5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2025г. – </w:t>
            </w:r>
            <w:r w:rsidR="006D4B5D">
              <w:rPr>
                <w:rFonts w:ascii="Times New Roman" w:hAnsi="Times New Roman" w:cs="Times New Roman"/>
                <w:sz w:val="26"/>
                <w:szCs w:val="26"/>
              </w:rPr>
              <w:t>330,7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D831A0"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DD467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D4674" w:rsidRPr="00303A3F" w:rsidRDefault="00DD4674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2026г. </w:t>
            </w:r>
            <w:r w:rsidR="006D4B5D">
              <w:rPr>
                <w:rFonts w:ascii="Times New Roman" w:hAnsi="Times New Roman" w:cs="Times New Roman"/>
                <w:sz w:val="26"/>
                <w:szCs w:val="26"/>
              </w:rPr>
              <w:t xml:space="preserve">– 334,0 тыс. руб.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831A0" w:rsidRPr="00303A3F" w:rsidTr="00DD4674">
        <w:tc>
          <w:tcPr>
            <w:tcW w:w="3936" w:type="dxa"/>
          </w:tcPr>
          <w:p w:rsidR="0009501C" w:rsidRPr="00303A3F" w:rsidRDefault="0009501C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Методы реализации</w:t>
            </w:r>
          </w:p>
          <w:p w:rsidR="00D831A0" w:rsidRPr="00303A3F" w:rsidRDefault="0009501C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095" w:type="dxa"/>
          </w:tcPr>
          <w:p w:rsidR="00D831A0" w:rsidRPr="00303A3F" w:rsidRDefault="0009501C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Организация и координация работы по</w:t>
            </w:r>
            <w:r w:rsidR="00AB1AAA"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реализации основных мероприятий</w:t>
            </w:r>
            <w:r w:rsidR="00AB1AAA"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программы осуществляется Исполнительным</w:t>
            </w:r>
            <w:r w:rsidR="00AB1AAA"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комитетом Азнакаевского муниципального</w:t>
            </w:r>
            <w:r w:rsidR="00AB1AAA"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района и отделом по работе с</w:t>
            </w:r>
            <w:r w:rsidR="00AB1AAA"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общественностью и СМИ Азнакаевского</w:t>
            </w:r>
            <w:r w:rsidR="00AB1AAA"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районного Совета (по согласованию).</w:t>
            </w:r>
          </w:p>
        </w:tc>
      </w:tr>
      <w:tr w:rsidR="0009501C" w:rsidRPr="00303A3F" w:rsidTr="00DD4674">
        <w:tc>
          <w:tcPr>
            <w:tcW w:w="3936" w:type="dxa"/>
          </w:tcPr>
          <w:p w:rsidR="00892DCF" w:rsidRPr="00303A3F" w:rsidRDefault="00892DCF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</w:t>
            </w:r>
          </w:p>
          <w:p w:rsidR="00892DCF" w:rsidRPr="00303A3F" w:rsidRDefault="00892DCF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реализации программы и</w:t>
            </w:r>
          </w:p>
          <w:p w:rsidR="0009501C" w:rsidRPr="00303A3F" w:rsidRDefault="00892DCF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показатели эффективности</w:t>
            </w:r>
          </w:p>
        </w:tc>
        <w:tc>
          <w:tcPr>
            <w:tcW w:w="6095" w:type="dxa"/>
          </w:tcPr>
          <w:p w:rsidR="00C60989" w:rsidRPr="00303A3F" w:rsidRDefault="00C60989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- Доля жителей района, положительно оценивающих состояние межэтнических отношений в районе и Республике Татарстан, составит в 202</w:t>
            </w:r>
            <w:r w:rsidR="00DD467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г. 90%.</w:t>
            </w:r>
          </w:p>
          <w:p w:rsidR="00C60989" w:rsidRPr="00303A3F" w:rsidRDefault="00C60989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- Уровень толерантного отношения к представителям другой национальности составит в 202</w:t>
            </w:r>
            <w:r w:rsidR="00DD467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 xml:space="preserve"> г. 90%.</w:t>
            </w:r>
          </w:p>
          <w:p w:rsidR="00C60989" w:rsidRPr="00303A3F" w:rsidRDefault="00C60989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- Доля жителей района, удовлетворенных реализацией своих этнокультурных потребностей, составит в 202</w:t>
            </w:r>
            <w:r w:rsidR="00DD467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г. 95%.</w:t>
            </w:r>
          </w:p>
          <w:p w:rsidR="00C60989" w:rsidRPr="00303A3F" w:rsidRDefault="00C60989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- Социально-экономическая эффективность от реализации Программы заключается в сохранении социальной стабильности, межэтнического и межконфессионального мира и согласия, этнокультурной самобытности и удовлетворении социально-культурных потребностей представителей народов, проживающих в Азнакаевском муниципальном районе РТ, и выражается:</w:t>
            </w:r>
          </w:p>
          <w:p w:rsidR="00C60989" w:rsidRPr="00303A3F" w:rsidRDefault="00C60989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- в улучшении этнокультурного и социального самочувствия;</w:t>
            </w:r>
          </w:p>
          <w:p w:rsidR="00C60989" w:rsidRPr="00303A3F" w:rsidRDefault="00C60989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- в укреплении региональной и общероссийской гражданской идентичности;</w:t>
            </w:r>
          </w:p>
          <w:p w:rsidR="00C60989" w:rsidRPr="00303A3F" w:rsidRDefault="00C60989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- в росте эффективности использования этнокультурного потенциала;</w:t>
            </w:r>
          </w:p>
          <w:p w:rsidR="00C60989" w:rsidRPr="00303A3F" w:rsidRDefault="00C60989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- в предотвращении межнациональных и межрелигиозных конфликтов;</w:t>
            </w:r>
          </w:p>
          <w:p w:rsidR="00C60989" w:rsidRPr="00303A3F" w:rsidRDefault="00C60989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- в росте инвестиционной и туристической привлекательности района;</w:t>
            </w:r>
          </w:p>
          <w:p w:rsidR="0009501C" w:rsidRPr="00303A3F" w:rsidRDefault="00C60989" w:rsidP="00C6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A3F">
              <w:rPr>
                <w:rFonts w:ascii="Times New Roman" w:hAnsi="Times New Roman" w:cs="Times New Roman"/>
                <w:sz w:val="26"/>
                <w:szCs w:val="26"/>
              </w:rPr>
              <w:t>- в реализации системы мер, направленных на совершенствование социальной и культурной адаптации и интеграции мигрантов.</w:t>
            </w:r>
          </w:p>
        </w:tc>
      </w:tr>
    </w:tbl>
    <w:p w:rsidR="00E85B9F" w:rsidRDefault="00E85B9F" w:rsidP="00C60989">
      <w:pPr>
        <w:spacing w:line="240" w:lineRule="auto"/>
        <w:jc w:val="both"/>
        <w:rPr>
          <w:rFonts w:ascii="Times New Roman" w:eastAsia="Times New Roman" w:hAnsi="Times New Roman" w:cs="Times New Roman"/>
          <w:sz w:val="2"/>
          <w:szCs w:val="2"/>
        </w:rPr>
      </w:pPr>
      <w:bookmarkStart w:id="2" w:name="_page_8_0"/>
      <w:bookmarkEnd w:id="1"/>
    </w:p>
    <w:p w:rsidR="0009501C" w:rsidRDefault="0009501C" w:rsidP="00C60989">
      <w:pPr>
        <w:spacing w:line="240" w:lineRule="auto"/>
        <w:jc w:val="both"/>
        <w:rPr>
          <w:rFonts w:ascii="Times New Roman" w:eastAsia="Times New Roman" w:hAnsi="Times New Roman" w:cs="Times New Roman"/>
          <w:sz w:val="2"/>
          <w:szCs w:val="2"/>
        </w:rPr>
      </w:pPr>
    </w:p>
    <w:bookmarkEnd w:id="2"/>
    <w:p w:rsidR="0009501C" w:rsidRDefault="0009501C" w:rsidP="00C60989">
      <w:pPr>
        <w:spacing w:line="240" w:lineRule="auto"/>
        <w:jc w:val="both"/>
        <w:rPr>
          <w:rFonts w:ascii="Times New Roman" w:eastAsia="Times New Roman" w:hAnsi="Times New Roman" w:cs="Times New Roman"/>
          <w:sz w:val="2"/>
          <w:szCs w:val="2"/>
        </w:rPr>
      </w:pPr>
    </w:p>
    <w:sectPr w:rsidR="0009501C" w:rsidSect="00303A3F">
      <w:pgSz w:w="11990" w:h="16895"/>
      <w:pgMar w:top="907" w:right="1134" w:bottom="907" w:left="1134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B9F"/>
    <w:rsid w:val="000304F5"/>
    <w:rsid w:val="00052C63"/>
    <w:rsid w:val="0009501C"/>
    <w:rsid w:val="000C716D"/>
    <w:rsid w:val="001728C9"/>
    <w:rsid w:val="00192A89"/>
    <w:rsid w:val="001B188D"/>
    <w:rsid w:val="001D1FD3"/>
    <w:rsid w:val="0024566F"/>
    <w:rsid w:val="0028367D"/>
    <w:rsid w:val="002B7C52"/>
    <w:rsid w:val="00303A3F"/>
    <w:rsid w:val="00350647"/>
    <w:rsid w:val="00361B8F"/>
    <w:rsid w:val="00390AA6"/>
    <w:rsid w:val="003C39B6"/>
    <w:rsid w:val="003D4460"/>
    <w:rsid w:val="00404F85"/>
    <w:rsid w:val="00436802"/>
    <w:rsid w:val="00472E16"/>
    <w:rsid w:val="004E00A0"/>
    <w:rsid w:val="005131A3"/>
    <w:rsid w:val="005450F9"/>
    <w:rsid w:val="00566986"/>
    <w:rsid w:val="005F022C"/>
    <w:rsid w:val="006549F5"/>
    <w:rsid w:val="00692587"/>
    <w:rsid w:val="006C36EA"/>
    <w:rsid w:val="006D4B5D"/>
    <w:rsid w:val="00743351"/>
    <w:rsid w:val="007A104A"/>
    <w:rsid w:val="00821911"/>
    <w:rsid w:val="00892DCF"/>
    <w:rsid w:val="008C20F9"/>
    <w:rsid w:val="00A0554A"/>
    <w:rsid w:val="00A13AB6"/>
    <w:rsid w:val="00A86B89"/>
    <w:rsid w:val="00AA245D"/>
    <w:rsid w:val="00AB1AAA"/>
    <w:rsid w:val="00AE006A"/>
    <w:rsid w:val="00B376A5"/>
    <w:rsid w:val="00B77F22"/>
    <w:rsid w:val="00BC04C2"/>
    <w:rsid w:val="00BC1A47"/>
    <w:rsid w:val="00BE4CA7"/>
    <w:rsid w:val="00C60989"/>
    <w:rsid w:val="00C95E5C"/>
    <w:rsid w:val="00CD628E"/>
    <w:rsid w:val="00CF2576"/>
    <w:rsid w:val="00D2066C"/>
    <w:rsid w:val="00D21DFC"/>
    <w:rsid w:val="00D4702F"/>
    <w:rsid w:val="00D831A0"/>
    <w:rsid w:val="00DD4674"/>
    <w:rsid w:val="00E160BA"/>
    <w:rsid w:val="00E85B9F"/>
    <w:rsid w:val="00EC1872"/>
    <w:rsid w:val="00F412C8"/>
    <w:rsid w:val="00FB7524"/>
    <w:rsid w:val="00FE328F"/>
    <w:rsid w:val="00FE5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187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EE9F8-E86A-488F-AE22-A88312FC0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azna-nafikova</cp:lastModifiedBy>
  <cp:revision>6</cp:revision>
  <dcterms:created xsi:type="dcterms:W3CDTF">2022-11-29T10:08:00Z</dcterms:created>
  <dcterms:modified xsi:type="dcterms:W3CDTF">2023-10-11T11:39:00Z</dcterms:modified>
</cp:coreProperties>
</file>