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4B5" w:rsidRDefault="00BC14B5" w:rsidP="00BC14B5">
      <w:pPr>
        <w:pStyle w:val="10"/>
        <w:keepNext/>
        <w:keepLines/>
        <w:pBdr>
          <w:top w:val="single" w:sz="0" w:space="4" w:color="DEEAF6"/>
          <w:left w:val="single" w:sz="0" w:space="0" w:color="DEEAF6"/>
          <w:bottom w:val="single" w:sz="0" w:space="2" w:color="DEEAF6"/>
          <w:right w:val="single" w:sz="0" w:space="0" w:color="DEEAF6"/>
        </w:pBdr>
        <w:shd w:val="clear" w:color="auto" w:fill="DEEAF6"/>
        <w:spacing w:after="126"/>
        <w:jc w:val="center"/>
        <w:rPr>
          <w:sz w:val="32"/>
        </w:rPr>
      </w:pPr>
      <w:bookmarkStart w:id="0" w:name="_GoBack"/>
      <w:bookmarkStart w:id="1" w:name="bookmark0"/>
      <w:bookmarkStart w:id="2" w:name="bookmark1"/>
      <w:bookmarkEnd w:id="0"/>
      <w:r w:rsidRPr="00BC14B5">
        <w:rPr>
          <w:sz w:val="32"/>
        </w:rPr>
        <w:t>Рекомендации</w:t>
      </w:r>
    </w:p>
    <w:bookmarkEnd w:id="1"/>
    <w:bookmarkEnd w:id="2"/>
    <w:p w:rsidR="004009C6" w:rsidRDefault="000549A6" w:rsidP="00BC14B5">
      <w:pPr>
        <w:pStyle w:val="10"/>
        <w:keepNext/>
        <w:keepLines/>
        <w:pBdr>
          <w:top w:val="single" w:sz="0" w:space="4" w:color="DEEAF6"/>
          <w:left w:val="single" w:sz="0" w:space="0" w:color="DEEAF6"/>
          <w:bottom w:val="single" w:sz="0" w:space="2" w:color="DEEAF6"/>
          <w:right w:val="single" w:sz="0" w:space="0" w:color="DEEAF6"/>
        </w:pBdr>
        <w:shd w:val="clear" w:color="auto" w:fill="DEEAF6"/>
        <w:spacing w:after="126"/>
        <w:jc w:val="center"/>
      </w:pPr>
      <w:r>
        <w:rPr>
          <w:sz w:val="32"/>
        </w:rPr>
        <w:t xml:space="preserve">по завершению финансового года в части платежей по налоговым обязательствам. </w:t>
      </w:r>
    </w:p>
    <w:p w:rsidR="004009C6" w:rsidRDefault="00FE411C">
      <w:pPr>
        <w:pStyle w:val="11"/>
        <w:shd w:val="clear" w:color="auto" w:fill="auto"/>
        <w:spacing w:after="320" w:line="240" w:lineRule="auto"/>
      </w:pPr>
      <w:r>
        <w:t>Сроки уплаты и представления уведомлений по НДФЛ в декабре 2023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72"/>
        <w:gridCol w:w="2268"/>
        <w:gridCol w:w="1985"/>
        <w:gridCol w:w="1985"/>
      </w:tblGrid>
      <w:tr w:rsidR="007F6006" w:rsidTr="007F6006">
        <w:trPr>
          <w:trHeight w:hRule="exact" w:val="128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006" w:rsidRDefault="007F6006" w:rsidP="007F6006">
            <w:pPr>
              <w:pStyle w:val="a5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006" w:rsidRDefault="007F6006" w:rsidP="007F6006">
            <w:pPr>
              <w:pStyle w:val="a5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 подачи уведомления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006" w:rsidRDefault="007F6006" w:rsidP="007F6006">
            <w:pPr>
              <w:pStyle w:val="a5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Предельные сроки уплаты согласно НК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006" w:rsidRDefault="007F6006" w:rsidP="007F6006">
            <w:pPr>
              <w:pStyle w:val="a5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Сроки уплаты по завершению финансового года</w:t>
            </w:r>
            <w:r>
              <w:rPr>
                <w:rStyle w:val="a8"/>
                <w:b/>
                <w:bCs/>
                <w:sz w:val="24"/>
                <w:szCs w:val="24"/>
              </w:rPr>
              <w:footnoteReference w:id="1"/>
            </w:r>
          </w:p>
        </w:tc>
      </w:tr>
      <w:tr w:rsidR="007F6006" w:rsidTr="006F65B6">
        <w:trPr>
          <w:trHeight w:hRule="exact" w:val="68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006" w:rsidRDefault="007F6006" w:rsidP="007F6006">
            <w:pPr>
              <w:pStyle w:val="a5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ноября - 9 декабря 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006" w:rsidRDefault="007F6006" w:rsidP="007F6006">
            <w:pPr>
              <w:pStyle w:val="a5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</w:p>
          <w:p w:rsidR="007F6006" w:rsidRDefault="007F6006" w:rsidP="007F6006">
            <w:pPr>
              <w:pStyle w:val="a5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декабря 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006" w:rsidRDefault="007F6006" w:rsidP="007F6006">
            <w:pPr>
              <w:pStyle w:val="a5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</w:p>
          <w:p w:rsidR="007F6006" w:rsidRDefault="007F6006" w:rsidP="007F6006">
            <w:pPr>
              <w:pStyle w:val="a5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декабря 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006" w:rsidRDefault="007F6006" w:rsidP="007F6006">
            <w:pPr>
              <w:pStyle w:val="a5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декабря 2023</w:t>
            </w:r>
          </w:p>
        </w:tc>
      </w:tr>
      <w:tr w:rsidR="007F6006" w:rsidTr="006F65B6">
        <w:trPr>
          <w:trHeight w:hRule="exact" w:val="147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006" w:rsidRDefault="007F6006" w:rsidP="007F6006">
            <w:pPr>
              <w:pStyle w:val="a5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ноября - 22 декабря 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006" w:rsidRDefault="007F6006" w:rsidP="007F6006">
            <w:pPr>
              <w:pStyle w:val="a5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</w:p>
          <w:p w:rsidR="007F6006" w:rsidRDefault="007F6006" w:rsidP="007F6006">
            <w:pPr>
              <w:pStyle w:val="a5"/>
              <w:shd w:val="clear" w:color="auto" w:fill="auto"/>
              <w:spacing w:after="0" w:line="230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25 декабря 2023 </w:t>
            </w:r>
            <w:r>
              <w:rPr>
                <w:i/>
                <w:iCs/>
                <w:sz w:val="20"/>
                <w:szCs w:val="20"/>
              </w:rPr>
              <w:t>указывается исчисленный в полном объеме НДФЛ с 23 ноября по 22 декабря</w:t>
            </w:r>
          </w:p>
          <w:p w:rsidR="007F6006" w:rsidRDefault="007F6006" w:rsidP="007F6006">
            <w:pPr>
              <w:pStyle w:val="a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включительно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006" w:rsidRDefault="007F6006" w:rsidP="007F6006">
            <w:pPr>
              <w:pStyle w:val="a5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</w:p>
          <w:p w:rsidR="007F6006" w:rsidRDefault="007F6006" w:rsidP="007F6006">
            <w:pPr>
              <w:pStyle w:val="a5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декабря 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006" w:rsidRDefault="007F6006" w:rsidP="007F6006">
            <w:pPr>
              <w:pStyle w:val="a5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декабря 2023</w:t>
            </w:r>
          </w:p>
        </w:tc>
      </w:tr>
      <w:tr w:rsidR="007F6006" w:rsidTr="00A43002">
        <w:trPr>
          <w:trHeight w:hRule="exact" w:val="57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006" w:rsidRDefault="007F6006" w:rsidP="007F6006">
            <w:pPr>
              <w:pStyle w:val="a5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23 - 31 декабря 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6006" w:rsidRDefault="007F6006" w:rsidP="007F6006">
            <w:pPr>
              <w:pStyle w:val="a5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</w:p>
          <w:p w:rsidR="007F6006" w:rsidRDefault="007F6006" w:rsidP="007F6006">
            <w:pPr>
              <w:pStyle w:val="a5"/>
              <w:shd w:val="clear" w:color="auto" w:fill="auto"/>
              <w:spacing w:after="0"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декабря 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006" w:rsidRDefault="007F6006" w:rsidP="007F6006">
            <w:pPr>
              <w:pStyle w:val="a5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</w:p>
          <w:p w:rsidR="007F6006" w:rsidRDefault="007F6006" w:rsidP="007F6006">
            <w:pPr>
              <w:pStyle w:val="a5"/>
              <w:shd w:val="clear" w:color="auto" w:fill="auto"/>
              <w:spacing w:after="0"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декабря 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006" w:rsidRDefault="007F6006" w:rsidP="007F6006">
            <w:pPr>
              <w:pStyle w:val="a5"/>
              <w:shd w:val="clear" w:color="auto" w:fill="auto"/>
              <w:spacing w:after="0"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декабря 2023</w:t>
            </w:r>
          </w:p>
        </w:tc>
      </w:tr>
    </w:tbl>
    <w:p w:rsidR="004009C6" w:rsidRDefault="004009C6">
      <w:pPr>
        <w:spacing w:after="319" w:line="1" w:lineRule="exact"/>
      </w:pPr>
    </w:p>
    <w:p w:rsidR="007F6006" w:rsidRDefault="007F6006" w:rsidP="008E0ACC">
      <w:pPr>
        <w:pStyle w:val="11"/>
        <w:shd w:val="clear" w:color="auto" w:fill="auto"/>
        <w:spacing w:after="320" w:line="240" w:lineRule="auto"/>
        <w:ind w:firstLine="708"/>
        <w:jc w:val="both"/>
      </w:pPr>
      <w:r>
        <w:t>Получателям средств бюджета (бюджетным (автономным) учреждениям необходимо обеспечить формирование и представление Уведомлений, а также перечисление исчисленного НДФЛ в качестве ЕНП с учетом вышеуказанных сроков.</w:t>
      </w:r>
    </w:p>
    <w:p w:rsidR="004009C6" w:rsidRDefault="00FE411C" w:rsidP="008E0ACC">
      <w:pPr>
        <w:pStyle w:val="11"/>
        <w:shd w:val="clear" w:color="auto" w:fill="auto"/>
        <w:spacing w:after="320" w:line="240" w:lineRule="auto"/>
        <w:ind w:firstLine="708"/>
        <w:jc w:val="both"/>
      </w:pPr>
      <w:r>
        <w:t xml:space="preserve">При наличии у ФНС России </w:t>
      </w:r>
      <w:r w:rsidR="008E0ACC">
        <w:t>У</w:t>
      </w:r>
      <w:r>
        <w:t>ведомления и необходимо</w:t>
      </w:r>
      <w:r w:rsidR="008E0ACC">
        <w:t xml:space="preserve">го положительного сальдо </w:t>
      </w:r>
      <w:r>
        <w:t>ЕНС, ФНС России обеспечит оперативное распределение сумм НДФЛ по бюджетам до срок</w:t>
      </w:r>
      <w:r w:rsidR="008E0ACC">
        <w:t>а</w:t>
      </w:r>
      <w:r>
        <w:t xml:space="preserve"> уплаты.</w:t>
      </w:r>
    </w:p>
    <w:p w:rsidR="008E0ACC" w:rsidRDefault="008E0ACC" w:rsidP="008E0ACC">
      <w:pPr>
        <w:pStyle w:val="11"/>
        <w:shd w:val="clear" w:color="auto" w:fill="auto"/>
        <w:spacing w:after="428" w:line="240" w:lineRule="auto"/>
        <w:ind w:firstLine="708"/>
        <w:jc w:val="both"/>
      </w:pPr>
      <w:r>
        <w:t>Вышеуказанные положения по порядку представления Уведомлений и осуществлении платежей по НДФЛ применяются при представлении Уведомлений и осуществлении платежей в качестве ЕНП</w:t>
      </w:r>
      <w:r w:rsidR="00FE411C">
        <w:t xml:space="preserve"> до конца декабря 2023 (29.12.2023г.)</w:t>
      </w:r>
      <w:r>
        <w:t xml:space="preserve"> по страховым взносам (независимо от их срока уплаты - 28.01.2024г.).</w:t>
      </w:r>
    </w:p>
    <w:p w:rsidR="004009C6" w:rsidRDefault="008E0ACC" w:rsidP="008E0ACC">
      <w:pPr>
        <w:pStyle w:val="11"/>
        <w:shd w:val="clear" w:color="auto" w:fill="auto"/>
        <w:spacing w:after="428" w:line="240" w:lineRule="auto"/>
        <w:ind w:firstLine="708"/>
        <w:jc w:val="both"/>
      </w:pPr>
      <w:r>
        <w:t>При этом в системе учета</w:t>
      </w:r>
      <w:r w:rsidR="00FE411C">
        <w:t xml:space="preserve"> налоговых органов на 1 января 2024 г будет значиться переплата по страховым взносам, до срока их уплаты</w:t>
      </w:r>
      <w:r>
        <w:t xml:space="preserve"> (в бухгалтерском (бюджетном) учете указанные платежи сформируют дебетовый остаток по счету 030314000 «Расчеты по единому налоговому платежу»</w:t>
      </w:r>
      <w:r w:rsidR="00FE411C">
        <w:t>.</w:t>
      </w:r>
    </w:p>
    <w:p w:rsidR="008E0ACC" w:rsidRDefault="008E0ACC" w:rsidP="004F1024">
      <w:pPr>
        <w:pStyle w:val="10"/>
        <w:keepNext/>
        <w:keepLines/>
        <w:pBdr>
          <w:top w:val="single" w:sz="0" w:space="4" w:color="DEEAF6"/>
          <w:left w:val="single" w:sz="0" w:space="0" w:color="DEEAF6"/>
          <w:bottom w:val="single" w:sz="0" w:space="1" w:color="DEEAF6"/>
          <w:right w:val="single" w:sz="0" w:space="0" w:color="DEEAF6"/>
        </w:pBdr>
        <w:shd w:val="clear" w:color="auto" w:fill="DEEAF6"/>
        <w:spacing w:after="430"/>
        <w:ind w:firstLine="709"/>
        <w:jc w:val="center"/>
      </w:pPr>
      <w:bookmarkStart w:id="3" w:name="bookmark2"/>
      <w:bookmarkStart w:id="4" w:name="bookmark3"/>
      <w:r>
        <w:rPr>
          <w:sz w:val="32"/>
        </w:rPr>
        <w:lastRenderedPageBreak/>
        <w:t>Особенности завершения финансового года в части платежей по имущественным налогам.</w:t>
      </w:r>
    </w:p>
    <w:bookmarkEnd w:id="3"/>
    <w:bookmarkEnd w:id="4"/>
    <w:p w:rsidR="004F1024" w:rsidRDefault="004F1024" w:rsidP="004F1024">
      <w:pPr>
        <w:pStyle w:val="11"/>
        <w:shd w:val="clear" w:color="auto" w:fill="auto"/>
        <w:tabs>
          <w:tab w:val="left" w:pos="411"/>
        </w:tabs>
        <w:ind w:left="360"/>
        <w:jc w:val="both"/>
      </w:pPr>
      <w:r>
        <w:tab/>
      </w:r>
      <w:r>
        <w:tab/>
        <w:t>Исчисление и исполнение (перечисление) налоговых обязательств, финансовое обеспечение которых предусмотрены в 2023 году соответствующими лимитами бюджетных обязательств (в части налогоплательщиков (налоговых агентов) – получателей средств бюджета), соответствующими субсидиями (показателями плана финансово-хозяйственной деятельности) (в части бюджетных (автономных) учреждений) осуществляется, с учетом особенностей по завершению исполнения финансового года, в 2023 году (в частности налога на имущество организаций, налога на землю, транспортного налога).</w:t>
      </w:r>
    </w:p>
    <w:p w:rsidR="002E347C" w:rsidRDefault="004F1024" w:rsidP="004F1024">
      <w:pPr>
        <w:pStyle w:val="11"/>
        <w:shd w:val="clear" w:color="auto" w:fill="auto"/>
        <w:tabs>
          <w:tab w:val="left" w:pos="411"/>
        </w:tabs>
        <w:ind w:left="360"/>
        <w:jc w:val="both"/>
      </w:pPr>
      <w:r>
        <w:tab/>
      </w:r>
      <w:r>
        <w:tab/>
        <w:t xml:space="preserve">В целях сокращения сроков по распределению поступлений по указанным платежам в бюджеты бюджетной системы Российской Федерации </w:t>
      </w:r>
      <w:r w:rsidR="002E347C">
        <w:t xml:space="preserve">налогоплательщиками (субъектами учета) представляются </w:t>
      </w:r>
      <w:r>
        <w:t>Заявлени</w:t>
      </w:r>
      <w:r w:rsidR="002E347C">
        <w:t>я</w:t>
      </w:r>
      <w:r>
        <w:t xml:space="preserve"> о зачете в счет предстоящей обязанности по уплате конкретного налога (КДФ 1150057) (далее </w:t>
      </w:r>
      <w:r w:rsidR="001A1949">
        <w:t>-</w:t>
      </w:r>
      <w:r>
        <w:t xml:space="preserve"> Заявление о зачете)</w:t>
      </w:r>
      <w:r w:rsidR="002E347C">
        <w:t>.</w:t>
      </w:r>
    </w:p>
    <w:p w:rsidR="00812A32" w:rsidRDefault="00812A32" w:rsidP="00812A32">
      <w:pPr>
        <w:pStyle w:val="20"/>
        <w:shd w:val="clear" w:color="auto" w:fill="auto"/>
        <w:jc w:val="center"/>
      </w:pPr>
      <w:r>
        <w:t xml:space="preserve">ВАЖНО! НА МОМЕНТ ОТПРАВКИ ЗАЯВЛЕНИЯ О ЗАЧЕТЕ </w:t>
      </w:r>
    </w:p>
    <w:p w:rsidR="00812A32" w:rsidRDefault="00812A32" w:rsidP="00812A32">
      <w:pPr>
        <w:pStyle w:val="20"/>
        <w:shd w:val="clear" w:color="auto" w:fill="auto"/>
        <w:jc w:val="center"/>
      </w:pPr>
      <w:r>
        <w:t xml:space="preserve"> на ЕНС ДОЛЖНА БЫТЬ СУММА ПОЛОЖИТЕЛЬНОГО САЛЬДО в РАЗМЕРЕ НЕ МЕНЕЕ СУММЫ, УКАЗАННОЙ в ЗАЯВЛЕНИИ О ЗАЧЕТЕ.</w:t>
      </w:r>
    </w:p>
    <w:p w:rsidR="004F1024" w:rsidRDefault="004F1024" w:rsidP="008E0ACC">
      <w:pPr>
        <w:pStyle w:val="11"/>
        <w:shd w:val="clear" w:color="auto" w:fill="auto"/>
        <w:tabs>
          <w:tab w:val="left" w:pos="411"/>
        </w:tabs>
        <w:ind w:left="360"/>
      </w:pPr>
    </w:p>
    <w:p w:rsidR="004F1024" w:rsidRDefault="004F1024" w:rsidP="004F1024">
      <w:pPr>
        <w:pStyle w:val="10"/>
        <w:keepNext/>
        <w:keepLines/>
        <w:pBdr>
          <w:top w:val="single" w:sz="0" w:space="4" w:color="DEEAF6"/>
          <w:left w:val="single" w:sz="0" w:space="0" w:color="DEEAF6"/>
          <w:bottom w:val="single" w:sz="0" w:space="1" w:color="DEEAF6"/>
          <w:right w:val="single" w:sz="0" w:space="0" w:color="DEEAF6"/>
        </w:pBdr>
        <w:shd w:val="clear" w:color="auto" w:fill="DEEAF6"/>
        <w:spacing w:after="430"/>
        <w:ind w:firstLine="709"/>
        <w:jc w:val="center"/>
      </w:pPr>
      <w:r>
        <w:t>Осуществления распределения поступлений по имущественным налогам в бюджеты бюджетной системы Российской Федерации</w:t>
      </w:r>
    </w:p>
    <w:p w:rsidR="008E0ACC" w:rsidRDefault="004F1024" w:rsidP="004F1024">
      <w:pPr>
        <w:pStyle w:val="10"/>
        <w:keepNext/>
        <w:keepLines/>
        <w:pBdr>
          <w:top w:val="single" w:sz="0" w:space="4" w:color="DEEAF6"/>
          <w:left w:val="single" w:sz="0" w:space="0" w:color="DEEAF6"/>
          <w:bottom w:val="single" w:sz="0" w:space="1" w:color="DEEAF6"/>
          <w:right w:val="single" w:sz="0" w:space="0" w:color="DEEAF6"/>
        </w:pBdr>
        <w:shd w:val="clear" w:color="auto" w:fill="DEEAF6"/>
        <w:spacing w:after="430"/>
        <w:ind w:firstLine="709"/>
        <w:jc w:val="center"/>
      </w:pPr>
      <w:r>
        <w:t xml:space="preserve">(осуществления </w:t>
      </w:r>
      <w:r w:rsidR="008E0ACC">
        <w:t>заче</w:t>
      </w:r>
      <w:r>
        <w:t>та ЕНП в счет предстоящих обязанностей по уплате имущественных</w:t>
      </w:r>
      <w:r w:rsidR="008E0ACC">
        <w:t xml:space="preserve"> налог</w:t>
      </w:r>
      <w:r>
        <w:t>ов</w:t>
      </w:r>
      <w:r w:rsidR="008E0ACC">
        <w:t>.</w:t>
      </w:r>
    </w:p>
    <w:p w:rsidR="008E0ACC" w:rsidRDefault="008E0ACC" w:rsidP="008E0ACC">
      <w:pPr>
        <w:pStyle w:val="11"/>
        <w:shd w:val="clear" w:color="auto" w:fill="auto"/>
        <w:tabs>
          <w:tab w:val="left" w:pos="411"/>
        </w:tabs>
        <w:ind w:left="360"/>
      </w:pPr>
    </w:p>
    <w:p w:rsidR="004009C6" w:rsidRDefault="002E347C" w:rsidP="002E347C">
      <w:pPr>
        <w:pStyle w:val="11"/>
        <w:shd w:val="clear" w:color="auto" w:fill="auto"/>
        <w:tabs>
          <w:tab w:val="left" w:pos="411"/>
        </w:tabs>
        <w:ind w:left="360"/>
      </w:pPr>
      <w:r>
        <w:tab/>
      </w:r>
      <w:r>
        <w:tab/>
      </w:r>
      <w:r w:rsidR="00FE411C">
        <w:t xml:space="preserve">Заполнить </w:t>
      </w:r>
      <w:r>
        <w:t>З</w:t>
      </w:r>
      <w:r w:rsidR="00FE411C">
        <w:t xml:space="preserve">аявление о зачете (утверждена </w:t>
      </w:r>
      <w:r>
        <w:t>п</w:t>
      </w:r>
      <w:r w:rsidR="00FE411C">
        <w:t>риказом ФНС Росси</w:t>
      </w:r>
      <w:r>
        <w:t xml:space="preserve">и от 30.11.2022 № ЕД-7-8/1133@), с указанием </w:t>
      </w:r>
      <w:r w:rsidR="00FE411C">
        <w:t>сумм</w:t>
      </w:r>
      <w:r>
        <w:t>ы</w:t>
      </w:r>
      <w:r w:rsidR="00FE411C">
        <w:t xml:space="preserve"> зачета</w:t>
      </w:r>
      <w:r>
        <w:t xml:space="preserve"> (суммы исчисленного налога)</w:t>
      </w:r>
      <w:r w:rsidR="00FE411C">
        <w:t xml:space="preserve">, </w:t>
      </w:r>
      <w:r>
        <w:t>кода бюджетной классификации соответствующего налога (</w:t>
      </w:r>
      <w:r w:rsidR="00FE411C">
        <w:t>КБК</w:t>
      </w:r>
      <w:r>
        <w:t>)</w:t>
      </w:r>
      <w:r w:rsidR="00FE411C">
        <w:t>, ОКТМО и срок уплаты налога.</w:t>
      </w:r>
    </w:p>
    <w:p w:rsidR="004009C6" w:rsidRDefault="00FE411C" w:rsidP="008E0ACC">
      <w:pPr>
        <w:pStyle w:val="11"/>
        <w:shd w:val="clear" w:color="auto" w:fill="auto"/>
        <w:tabs>
          <w:tab w:val="left" w:pos="411"/>
        </w:tabs>
        <w:ind w:left="360"/>
      </w:pPr>
      <w:r>
        <w:t xml:space="preserve">Отправить </w:t>
      </w:r>
      <w:r w:rsidR="002E347C">
        <w:t>Заявление о зачете</w:t>
      </w:r>
      <w:r>
        <w:t>:</w:t>
      </w:r>
    </w:p>
    <w:p w:rsidR="004009C6" w:rsidRDefault="00FE411C" w:rsidP="008E0ACC">
      <w:pPr>
        <w:pStyle w:val="11"/>
        <w:shd w:val="clear" w:color="auto" w:fill="auto"/>
        <w:tabs>
          <w:tab w:val="left" w:pos="619"/>
        </w:tabs>
        <w:ind w:left="1080"/>
      </w:pPr>
      <w:r>
        <w:t>по ТКС с усиленной квалифицированной электронной подписью</w:t>
      </w:r>
    </w:p>
    <w:p w:rsidR="004009C6" w:rsidRDefault="00FE411C" w:rsidP="008E0ACC">
      <w:pPr>
        <w:pStyle w:val="11"/>
        <w:shd w:val="clear" w:color="auto" w:fill="auto"/>
        <w:spacing w:line="262" w:lineRule="auto"/>
        <w:ind w:left="1080"/>
      </w:pPr>
      <w:r>
        <w:t xml:space="preserve">через </w:t>
      </w:r>
      <w:r w:rsidR="002E347C">
        <w:t>Личный кабинет</w:t>
      </w:r>
      <w:r>
        <w:t xml:space="preserve"> налогоплательщика с усиленной квалифицированной электронной подписью.</w:t>
      </w:r>
    </w:p>
    <w:p w:rsidR="001A1949" w:rsidRDefault="00FE411C" w:rsidP="00BC14B5">
      <w:pPr>
        <w:pStyle w:val="20"/>
        <w:shd w:val="clear" w:color="auto" w:fill="auto"/>
        <w:jc w:val="center"/>
      </w:pPr>
      <w:r>
        <w:t>ВАЖНО! НА МОМЕНТ ОТПРАВКИ ЗАЯВЛЕНИЯ</w:t>
      </w:r>
      <w:r w:rsidR="001A1949">
        <w:t xml:space="preserve"> О ЗАЧЕТЕ </w:t>
      </w:r>
    </w:p>
    <w:p w:rsidR="004009C6" w:rsidRDefault="00FE411C" w:rsidP="00BC14B5">
      <w:pPr>
        <w:pStyle w:val="20"/>
        <w:shd w:val="clear" w:color="auto" w:fill="auto"/>
        <w:jc w:val="center"/>
      </w:pPr>
      <w:r>
        <w:lastRenderedPageBreak/>
        <w:t xml:space="preserve"> </w:t>
      </w:r>
      <w:r w:rsidR="001A1949">
        <w:t>на</w:t>
      </w:r>
      <w:r>
        <w:t xml:space="preserve"> ЕНС ДОЛЖНА БЫТЬ СУММА</w:t>
      </w:r>
      <w:r w:rsidR="001A1949">
        <w:t xml:space="preserve"> ПОЛОЖИТЕЛЬНОГО САЛЬДО</w:t>
      </w:r>
      <w:r>
        <w:t xml:space="preserve"> </w:t>
      </w:r>
      <w:r w:rsidR="001A1949">
        <w:t>в</w:t>
      </w:r>
      <w:r>
        <w:t xml:space="preserve"> РАЗМЕРЕ НЕ МЕН</w:t>
      </w:r>
      <w:r w:rsidR="001A1949">
        <w:t>ЕЕ</w:t>
      </w:r>
      <w:r>
        <w:t xml:space="preserve"> </w:t>
      </w:r>
      <w:r w:rsidR="001A1949">
        <w:t>СУММЫ,</w:t>
      </w:r>
      <w:r>
        <w:t xml:space="preserve"> УКАЗАН</w:t>
      </w:r>
      <w:r w:rsidR="001A1949">
        <w:t>НОЙ</w:t>
      </w:r>
      <w:r>
        <w:t xml:space="preserve"> </w:t>
      </w:r>
      <w:r w:rsidR="001A1949">
        <w:t>в</w:t>
      </w:r>
      <w:r>
        <w:t xml:space="preserve"> ЗАЯВЛЕНИИ </w:t>
      </w:r>
      <w:r w:rsidR="001A1949">
        <w:t>О</w:t>
      </w:r>
      <w:r>
        <w:t xml:space="preserve"> ЗАЧЕТ</w:t>
      </w:r>
      <w:r w:rsidR="001A1949">
        <w:t>Е</w:t>
      </w:r>
      <w:r>
        <w:t>.</w:t>
      </w:r>
    </w:p>
    <w:p w:rsidR="00BC14B5" w:rsidRDefault="00BC14B5">
      <w:pPr>
        <w:pStyle w:val="11"/>
        <w:shd w:val="clear" w:color="auto" w:fill="auto"/>
        <w:rPr>
          <w:b/>
          <w:bCs/>
        </w:rPr>
      </w:pPr>
    </w:p>
    <w:p w:rsidR="004009C6" w:rsidRDefault="00FE411C">
      <w:pPr>
        <w:pStyle w:val="11"/>
        <w:shd w:val="clear" w:color="auto" w:fill="auto"/>
        <w:rPr>
          <w:b/>
          <w:bCs/>
        </w:rPr>
      </w:pPr>
      <w:r>
        <w:rPr>
          <w:b/>
          <w:bCs/>
        </w:rPr>
        <w:t>К</w:t>
      </w:r>
      <w:r w:rsidR="00DC1D3A">
        <w:rPr>
          <w:b/>
          <w:bCs/>
        </w:rPr>
        <w:t xml:space="preserve">ак заполнить </w:t>
      </w:r>
      <w:r w:rsidR="002E347C">
        <w:rPr>
          <w:b/>
          <w:bCs/>
        </w:rPr>
        <w:t>З</w:t>
      </w:r>
      <w:r w:rsidR="00DC1D3A">
        <w:rPr>
          <w:b/>
          <w:bCs/>
        </w:rPr>
        <w:t>аявление о зачете.</w:t>
      </w:r>
    </w:p>
    <w:p w:rsidR="00DC1D3A" w:rsidRDefault="00DC1D3A">
      <w:pPr>
        <w:pStyle w:val="11"/>
        <w:shd w:val="clear" w:color="auto" w:fill="auto"/>
      </w:pPr>
    </w:p>
    <w:p w:rsidR="004009C6" w:rsidRDefault="002E347C">
      <w:pPr>
        <w:pStyle w:val="11"/>
        <w:shd w:val="clear" w:color="auto" w:fill="auto"/>
      </w:pPr>
      <w:r>
        <w:t xml:space="preserve">При заполнении </w:t>
      </w:r>
      <w:r w:rsidR="00FE411C">
        <w:t>Заявлени</w:t>
      </w:r>
      <w:r>
        <w:t>я</w:t>
      </w:r>
      <w:r w:rsidR="00FE411C">
        <w:t xml:space="preserve"> о зачете</w:t>
      </w:r>
      <w:r>
        <w:t>:</w:t>
      </w:r>
    </w:p>
    <w:p w:rsidR="004009C6" w:rsidRDefault="002E347C" w:rsidP="00DC1D3A">
      <w:pPr>
        <w:pStyle w:val="11"/>
        <w:shd w:val="clear" w:color="auto" w:fill="auto"/>
        <w:ind w:firstLine="709"/>
        <w:jc w:val="both"/>
      </w:pPr>
      <w:r>
        <w:t>в</w:t>
      </w:r>
      <w:r w:rsidR="00FE411C">
        <w:t xml:space="preserve"> полях </w:t>
      </w:r>
      <w:r>
        <w:t>«</w:t>
      </w:r>
      <w:r w:rsidR="00FE411C">
        <w:t>ИНН</w:t>
      </w:r>
      <w:r>
        <w:t>»</w:t>
      </w:r>
      <w:r w:rsidR="00FE411C">
        <w:t xml:space="preserve"> и </w:t>
      </w:r>
      <w:r>
        <w:t>«</w:t>
      </w:r>
      <w:r w:rsidR="00FE411C">
        <w:t>КПП</w:t>
      </w:r>
      <w:r>
        <w:t>»</w:t>
      </w:r>
      <w:r w:rsidR="00FE411C">
        <w:t xml:space="preserve"> указывается ИНН и КПП организации, присвоенные в налоговом органе.</w:t>
      </w:r>
    </w:p>
    <w:p w:rsidR="004009C6" w:rsidRDefault="00FE411C" w:rsidP="00DC1D3A">
      <w:pPr>
        <w:pStyle w:val="11"/>
        <w:shd w:val="clear" w:color="auto" w:fill="auto"/>
        <w:ind w:firstLine="709"/>
        <w:jc w:val="both"/>
      </w:pPr>
      <w:r>
        <w:t xml:space="preserve">В поле </w:t>
      </w:r>
      <w:r w:rsidR="002E347C">
        <w:t>«</w:t>
      </w:r>
      <w:r>
        <w:t>Представляется в налоговый орган (код)</w:t>
      </w:r>
      <w:r w:rsidR="002E347C">
        <w:t>»</w:t>
      </w:r>
      <w:r>
        <w:t xml:space="preserve"> указывается четырехзначный код инспекции, в которую подаете заявление.</w:t>
      </w:r>
    </w:p>
    <w:p w:rsidR="004009C6" w:rsidRDefault="002E347C" w:rsidP="002E347C">
      <w:pPr>
        <w:pStyle w:val="11"/>
        <w:shd w:val="clear" w:color="auto" w:fill="auto"/>
        <w:spacing w:line="264" w:lineRule="auto"/>
        <w:ind w:firstLine="708"/>
        <w:jc w:val="both"/>
      </w:pPr>
      <w:r>
        <w:t>Далее (ниже)</w:t>
      </w:r>
      <w:r w:rsidR="00FE411C">
        <w:t xml:space="preserve"> указывается код </w:t>
      </w:r>
      <w:r>
        <w:t>«</w:t>
      </w:r>
      <w:r w:rsidR="00FE411C">
        <w:t>2 - исполнение предстоящей обязанности по уплате конкретного налога (сбора, страхового взноса)</w:t>
      </w:r>
      <w:r>
        <w:t>»</w:t>
      </w:r>
      <w:r w:rsidR="00FE411C">
        <w:t>;</w:t>
      </w:r>
    </w:p>
    <w:p w:rsidR="004009C6" w:rsidRDefault="00FE411C" w:rsidP="00DC1D3A">
      <w:pPr>
        <w:pStyle w:val="11"/>
        <w:shd w:val="clear" w:color="auto" w:fill="auto"/>
        <w:spacing w:line="259" w:lineRule="auto"/>
        <w:ind w:firstLine="709"/>
        <w:jc w:val="both"/>
      </w:pPr>
      <w:r>
        <w:t xml:space="preserve">В разделе </w:t>
      </w:r>
      <w:r w:rsidR="002E347C">
        <w:t>«</w:t>
      </w:r>
      <w:r>
        <w:t>Достоверность и полноту сведений, указанных в настоящем заявлении, подтверждаю</w:t>
      </w:r>
      <w:r w:rsidR="002E347C">
        <w:t>»</w:t>
      </w:r>
      <w:r>
        <w:t xml:space="preserve"> указывается, кто подтверждает сведения: пл</w:t>
      </w:r>
      <w:r w:rsidR="002E347C">
        <w:t xml:space="preserve">ательщик или его представитель, с отражение </w:t>
      </w:r>
      <w:r>
        <w:t>фамили</w:t>
      </w:r>
      <w:r w:rsidR="002E347C">
        <w:t>и</w:t>
      </w:r>
      <w:r>
        <w:t>, им</w:t>
      </w:r>
      <w:r w:rsidR="002E347C">
        <w:t>ени</w:t>
      </w:r>
      <w:r>
        <w:t xml:space="preserve"> и отчеств</w:t>
      </w:r>
      <w:r w:rsidR="002E347C">
        <w:t>а</w:t>
      </w:r>
      <w:r>
        <w:t xml:space="preserve"> (при наличии) руководителя организации</w:t>
      </w:r>
      <w:r w:rsidR="002E347C">
        <w:t>,</w:t>
      </w:r>
      <w:r>
        <w:t xml:space="preserve"> либо сведения о представителе, номер контактного телефона.</w:t>
      </w:r>
      <w:r w:rsidR="002E347C">
        <w:t xml:space="preserve"> </w:t>
      </w:r>
      <w:r>
        <w:t xml:space="preserve"> Если сведения подает представитель, то также надо указать наименование и реквизиты документа, подтверждающего его полномочия.</w:t>
      </w:r>
    </w:p>
    <w:p w:rsidR="002E347C" w:rsidRDefault="00FE411C" w:rsidP="00DC1D3A">
      <w:pPr>
        <w:pStyle w:val="11"/>
        <w:shd w:val="clear" w:color="auto" w:fill="auto"/>
        <w:spacing w:line="259" w:lineRule="auto"/>
        <w:ind w:firstLine="709"/>
        <w:jc w:val="both"/>
      </w:pPr>
      <w:r>
        <w:t xml:space="preserve">В разделе «В счет исполнения предстоящей обязанности по уплате конкретного налога (сбора, страхового взноса)» отражается сумма к зачету, а также сведения о налоге (сборе, взносе), в счет которого надо осуществить зачет, КПП организации, который согласно порядку заполнения, нужно указать в отчетности по соответствующему платежу, код по ОКТМО по месту его зачисления, КБК (общий, то есть с нулями в 14 - 17-м разрядах), срок уплаты налога (сбора, взноса). </w:t>
      </w:r>
    </w:p>
    <w:p w:rsidR="001A1949" w:rsidRDefault="001A1949" w:rsidP="00DC1D3A">
      <w:pPr>
        <w:pStyle w:val="11"/>
        <w:shd w:val="clear" w:color="auto" w:fill="auto"/>
        <w:spacing w:line="259" w:lineRule="auto"/>
        <w:ind w:firstLine="709"/>
        <w:jc w:val="both"/>
      </w:pPr>
      <w:r>
        <w:t>В поле «срок уплаты» Заявления о зачете отражается установленный срок уплаты по налогу (сбору, взносу), в счет которого надо осуществить зачет - указывается срок, который еще не наступил.</w:t>
      </w:r>
    </w:p>
    <w:p w:rsidR="004009C6" w:rsidRDefault="00FE411C" w:rsidP="00DC1D3A">
      <w:pPr>
        <w:pStyle w:val="11"/>
        <w:shd w:val="clear" w:color="auto" w:fill="auto"/>
        <w:spacing w:line="259" w:lineRule="auto"/>
        <w:ind w:firstLine="709"/>
        <w:jc w:val="both"/>
      </w:pPr>
      <w:r>
        <w:t>Также обозначается, исполняется ли эта обязанность в качестве налогового агента: 1 - да, 2 - нет.</w:t>
      </w:r>
    </w:p>
    <w:p w:rsidR="004009C6" w:rsidRDefault="00FE411C" w:rsidP="00DC1D3A">
      <w:pPr>
        <w:pStyle w:val="11"/>
        <w:shd w:val="clear" w:color="auto" w:fill="auto"/>
        <w:ind w:firstLine="709"/>
        <w:jc w:val="both"/>
      </w:pPr>
      <w:r>
        <w:t xml:space="preserve">Если зачет надо осуществить в счет уплаты нескольких налогов (сборов, взносов), заполняется необходимое количество блоков с </w:t>
      </w:r>
      <w:r w:rsidR="002E347C">
        <w:t xml:space="preserve">вышеуказанной </w:t>
      </w:r>
      <w:r>
        <w:t>информацией.</w:t>
      </w:r>
    </w:p>
    <w:sectPr w:rsidR="004009C6" w:rsidSect="00C90EDC">
      <w:pgSz w:w="11900" w:h="16840"/>
      <w:pgMar w:top="993" w:right="804" w:bottom="1032" w:left="1655" w:header="684" w:footer="604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B97" w:rsidRDefault="00401B97">
      <w:r>
        <w:separator/>
      </w:r>
    </w:p>
  </w:endnote>
  <w:endnote w:type="continuationSeparator" w:id="0">
    <w:p w:rsidR="00401B97" w:rsidRDefault="00401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B97" w:rsidRDefault="00401B97"/>
  </w:footnote>
  <w:footnote w:type="continuationSeparator" w:id="0">
    <w:p w:rsidR="00401B97" w:rsidRDefault="00401B97"/>
  </w:footnote>
  <w:footnote w:id="1">
    <w:p w:rsidR="007F6006" w:rsidRPr="008E0ACC" w:rsidRDefault="007F6006">
      <w:pPr>
        <w:pStyle w:val="a6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 w:rsidRPr="008E0ACC">
        <w:rPr>
          <w:rFonts w:ascii="Times New Roman" w:hAnsi="Times New Roman" w:cs="Times New Roman"/>
        </w:rPr>
        <w:t>Устанавливается финансовым органам с учетом особенностей завершения года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6F8F"/>
    <w:multiLevelType w:val="hybridMultilevel"/>
    <w:tmpl w:val="26E6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31282"/>
    <w:multiLevelType w:val="multilevel"/>
    <w:tmpl w:val="8932E7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A83B24"/>
    <w:multiLevelType w:val="hybridMultilevel"/>
    <w:tmpl w:val="CBC28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147C40">
      <w:numFmt w:val="bullet"/>
      <w:lvlText w:val="•"/>
      <w:lvlJc w:val="left"/>
      <w:pPr>
        <w:ind w:left="1695" w:hanging="61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009C6"/>
    <w:rsid w:val="000549A6"/>
    <w:rsid w:val="001A1949"/>
    <w:rsid w:val="001F64DA"/>
    <w:rsid w:val="002E347C"/>
    <w:rsid w:val="004009C6"/>
    <w:rsid w:val="00401B97"/>
    <w:rsid w:val="004F1024"/>
    <w:rsid w:val="00684B5D"/>
    <w:rsid w:val="007F6006"/>
    <w:rsid w:val="00812A32"/>
    <w:rsid w:val="008C24B2"/>
    <w:rsid w:val="008E0ACC"/>
    <w:rsid w:val="00991CA7"/>
    <w:rsid w:val="00BC14B5"/>
    <w:rsid w:val="00C55140"/>
    <w:rsid w:val="00C90EDC"/>
    <w:rsid w:val="00DC1D3A"/>
    <w:rsid w:val="00E36A4C"/>
    <w:rsid w:val="00FE4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514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55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sid w:val="00C55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C55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C55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C55140"/>
    <w:pPr>
      <w:shd w:val="clear" w:color="auto" w:fill="FFFFFF"/>
      <w:spacing w:after="4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rsid w:val="00C55140"/>
    <w:pPr>
      <w:shd w:val="clear" w:color="auto" w:fill="FFFFFF"/>
      <w:spacing w:after="160" w:line="257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C55140"/>
    <w:pPr>
      <w:shd w:val="clear" w:color="auto" w:fill="FFFFFF"/>
      <w:spacing w:after="160" w:line="257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C55140"/>
    <w:pPr>
      <w:shd w:val="clear" w:color="auto" w:fill="FFFFFF"/>
      <w:spacing w:after="160" w:line="259" w:lineRule="auto"/>
    </w:pPr>
    <w:rPr>
      <w:rFonts w:ascii="Times New Roman" w:eastAsia="Times New Roman" w:hAnsi="Times New Roman" w:cs="Times New Roman"/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7F600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F6006"/>
    <w:rPr>
      <w:color w:val="000000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F60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160" w:line="257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  <w:spacing w:after="160" w:line="257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60" w:line="259" w:lineRule="auto"/>
    </w:pPr>
    <w:rPr>
      <w:rFonts w:ascii="Times New Roman" w:eastAsia="Times New Roman" w:hAnsi="Times New Roman" w:cs="Times New Roman"/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7F600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F6006"/>
    <w:rPr>
      <w:color w:val="000000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F600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EB36A-7A77-4E12-A39B-8168B9148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Сапронова Екатерина Николаевна</dc:creator>
  <cp:lastModifiedBy>azna-fbp14</cp:lastModifiedBy>
  <cp:revision>2</cp:revision>
  <dcterms:created xsi:type="dcterms:W3CDTF">2023-11-23T09:07:00Z</dcterms:created>
  <dcterms:modified xsi:type="dcterms:W3CDTF">2023-11-23T09:07:00Z</dcterms:modified>
</cp:coreProperties>
</file>