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74" w:rsidRDefault="005B15E4" w:rsidP="00A30B4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</w:pP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fldChar w:fldCharType="begin"/>
      </w: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instrText xml:space="preserve"> HYPERLINK "https://bugulma.tatarstan.ru/novosti-2023.htm" </w:instrText>
      </w: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fldChar w:fldCharType="separate"/>
      </w:r>
      <w:r w:rsidRPr="005B15E4">
        <w:rPr>
          <w:rStyle w:val="a5"/>
          <w:rFonts w:ascii="Times New Roman" w:eastAsia="Times New Roman" w:hAnsi="Times New Roman" w:cs="Times New Roman"/>
          <w:kern w:val="36"/>
          <w:sz w:val="32"/>
          <w:szCs w:val="54"/>
          <w:lang w:eastAsia="ru-RU"/>
        </w:rPr>
        <w:t>https://bugulma.tatarstan.ru/novosti-2023.htm</w:t>
      </w: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fldChar w:fldCharType="end"/>
      </w: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t xml:space="preserve"> </w:t>
      </w:r>
    </w:p>
    <w:p w:rsidR="000A7FB6" w:rsidRPr="005B15E4" w:rsidRDefault="000A7FB6" w:rsidP="00A30B4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</w:pPr>
    </w:p>
    <w:p w:rsidR="005B15E4" w:rsidRDefault="000A7FB6" w:rsidP="00A30B4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4F66"/>
          <w:kern w:val="36"/>
          <w:sz w:val="40"/>
          <w:szCs w:val="54"/>
          <w:lang w:eastAsia="ru-RU"/>
        </w:rPr>
      </w:pPr>
      <w:r w:rsidRPr="000A7FB6">
        <w:rPr>
          <w:rFonts w:ascii="Times New Roman" w:eastAsia="Times New Roman" w:hAnsi="Times New Roman" w:cs="Times New Roman"/>
          <w:noProof/>
          <w:color w:val="104F66"/>
          <w:kern w:val="36"/>
          <w:sz w:val="40"/>
          <w:szCs w:val="54"/>
          <w:lang w:eastAsia="ru-RU"/>
        </w:rPr>
        <w:drawing>
          <wp:inline distT="0" distB="0" distL="0" distR="0" wp14:anchorId="6BD4F3BA" wp14:editId="4EAD41A7">
            <wp:extent cx="6660515" cy="374650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B47" w:rsidRPr="00FF5445" w:rsidRDefault="00A30B47" w:rsidP="00281C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04F66"/>
          <w:kern w:val="36"/>
          <w:sz w:val="40"/>
          <w:szCs w:val="54"/>
          <w:lang w:eastAsia="ru-RU"/>
        </w:rPr>
      </w:pPr>
      <w:r w:rsidRPr="00FF5445">
        <w:rPr>
          <w:rFonts w:ascii="Times New Roman" w:eastAsia="Times New Roman" w:hAnsi="Times New Roman" w:cs="Times New Roman"/>
          <w:color w:val="104F66"/>
          <w:kern w:val="36"/>
          <w:sz w:val="40"/>
          <w:szCs w:val="54"/>
          <w:lang w:eastAsia="ru-RU"/>
        </w:rPr>
        <w:t>Защита прав потребителей при оплате жилищно-коммунальных услуг через платежн</w:t>
      </w:r>
      <w:bookmarkStart w:id="0" w:name="_GoBack"/>
      <w:bookmarkEnd w:id="0"/>
      <w:r w:rsidRPr="00FF5445">
        <w:rPr>
          <w:rFonts w:ascii="Times New Roman" w:eastAsia="Times New Roman" w:hAnsi="Times New Roman" w:cs="Times New Roman"/>
          <w:color w:val="104F66"/>
          <w:kern w:val="36"/>
          <w:sz w:val="40"/>
          <w:szCs w:val="54"/>
          <w:lang w:eastAsia="ru-RU"/>
        </w:rPr>
        <w:t>ых агентов</w:t>
      </w:r>
    </w:p>
    <w:p w:rsidR="00A30B47" w:rsidRPr="009B54F6" w:rsidRDefault="00A30B47" w:rsidP="009B54F6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98A5AF"/>
          <w:sz w:val="21"/>
          <w:szCs w:val="21"/>
          <w:lang w:eastAsia="ru-RU"/>
        </w:rPr>
      </w:pPr>
      <w:r w:rsidRPr="00A30B47">
        <w:rPr>
          <w:rFonts w:ascii="Arial" w:eastAsia="Times New Roman" w:hAnsi="Arial" w:cs="Arial"/>
          <w:color w:val="98A5AF"/>
          <w:sz w:val="21"/>
          <w:szCs w:val="21"/>
          <w:lang w:eastAsia="ru-RU"/>
        </w:rPr>
        <w:t>.</w:t>
      </w:r>
    </w:p>
    <w:p w:rsidR="00A30B47" w:rsidRPr="00A30B47" w:rsidRDefault="003D16CF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С</w:t>
      </w:r>
      <w:r w:rsidR="00A30B47"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огласно п. 63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06.05.2011 № 354 (далее – Правила 354), потребители обязаны своевременно вносить плату за коммунальные услуги. Плата за коммунальные услуги вносится потребителями </w:t>
      </w:r>
      <w:r w:rsidR="00A30B47"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исполнителю, либо действующему по его поручению платежному агенту </w:t>
      </w:r>
      <w:r w:rsidR="00A30B47"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или банковскому платежному агенту.</w:t>
      </w:r>
    </w:p>
    <w:p w:rsidR="00A30B47" w:rsidRP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     </w:t>
      </w:r>
      <w:r w:rsidR="00025A5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Согласно п. 65 Правил 354, если иное не установлено договором, содержащим положения о предоставлении коммунальных услуг, потребитель вправе по своему выбору оплачивать коммунальные услуги наличными денежными средствами, в безналичной форме с использованием счетов, открытых, в том числе для этих целей в выбранных им банках или переводом денежных средств без открытия банковского счета, почтовыми переводами, банковскими картами, через сеть Интернет и в иных формах, предусмотренных законодательством Российской Федерации, с обязательным сохранением документов, подтверждающих оплату, в течение не менее 3 лет со дня оплаты.</w:t>
      </w:r>
    </w:p>
    <w:p w:rsidR="00A30B47" w:rsidRP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   </w:t>
      </w:r>
      <w:r w:rsidR="00BE22F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Ч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астью 15 ст.155 Жилищного кодекса РФ предусмотрено, что </w:t>
      </w:r>
      <w:proofErr w:type="spellStart"/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наймодатель</w:t>
      </w:r>
      <w:proofErr w:type="spellEnd"/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жилого помещения, управляющая организация, иное юридическое лицо или индивидуальный предприниматель,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которым в соответствии с настоящим Кодексом вносится плата за 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lastRenderedPageBreak/>
        <w:t>жилое помещение и коммунальные услуги,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при участии платежных агентов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, осуществляющих деятельность по приему платежей физических лиц, а также банковских платежных агентов, осуществляющих деятельность в соответствии с законодательством о банках и банковской деятельности.</w:t>
      </w:r>
    </w:p>
    <w:p w:rsidR="00A30B47" w:rsidRP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        Согласно ст. 37 Закона РФ «О защите прав потребителей», при использовании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наличной формы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расчетов оплата товаров (работ, услуг) потребителем производится в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соответствии с указанием продавца (исполнителя) 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путем внесения наличных денежных средств продавцу (исполнителю), либо в кредитную организацию,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либо платежному агенту, осуществляющему деятельность по приему платежей физических лиц,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либо банковскому платежному агенту (субагенту), осуществляющему деятельность в соответствии с законодательством о банках и банковской деятельности, если иное не установлено федеральными законами или иными нормативными правовыми актами Российской Федерации. </w:t>
      </w:r>
    </w:p>
    <w:p w:rsidR="00A30B47" w:rsidRP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   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При этом,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обязательства потребителя перед продавцом (исполнителем) по оплате товаров (работ, услуг) считаются исполненными в размере внесенных денежных средств с момента внесения наличных денежных средств соответственно продавцу (исполнителю), либо в кредитную организацию, либо платежному агенту, осуществляющему деятельность по приему платежей физических лиц, либо банковскому платежному агенту (субагенту), осуществляющему деятельность в соответствии с законодательством о банках и банковской деятельности.</w:t>
      </w:r>
    </w:p>
    <w:p w:rsidR="00A30B47" w:rsidRP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      Деятельность платёжных агентов регулируется Федеральным законом «О деятельности по приему платежей физических лиц, осуществляемой платежными агентами» № 103-ФЗ.</w:t>
      </w:r>
    </w:p>
    <w:p w:rsidR="00A30B47" w:rsidRP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      Согласно ст. 3 этого закона, платежный агент при приеме платежей вправе взимать с плательщика вознаграждение в размере, определяемом соглашением между платежным агентом и плательщиком.</w:t>
      </w:r>
    </w:p>
    <w:p w:rsidR="00A30B47" w:rsidRP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    Согласно ч.11 ст.4 Федерального закона № 103-ФЗ,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платежный агент при приеме платежей обязан иметь соответствующий договор об осуществлении деятельности по приему платежей физических лиц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, предусмотренный настоящей статьей.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Деятельность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юридического лица или индивидуального предпринимателя по приему от физического лица денежных средств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без заключения указанного договора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, соответствующего требованиям настоящего Федерального закона, либо договора об осуществлении деятельности по приему платежей физических лиц, предусмотренного Федеральным законом "О банках и банковской деятельности",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запрещена.</w:t>
      </w:r>
    </w:p>
    <w:p w:rsidR="00A30B47" w:rsidRP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        Таким образом, из перечисленных норм следует, что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потребители ЖКУ без риска для себя могут оплачивать услуги только через платёжных агентов, которые имеют договоры с юридическими лицами, индивидуальными предпринимателями, выставившими им платёжные документы на оплату ЖКУ.</w:t>
      </w:r>
    </w:p>
    <w:p w:rsidR="00A30B47" w:rsidRP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     Обращаем внимание потребителей ЖКУ, что поставщик ЖКУ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обязан предоставить по запросу плательщика информацию о платежных агентах, осуществляющих прием платежей в его пользу, о местах приема платежей. А платёжный агент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в месте приёма платежей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обязан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довести до плательщиков информацию о наименовании поставщика ЖКУ и реквизиты договора. </w:t>
      </w:r>
    </w:p>
    <w:p w:rsidR="00A30B47" w:rsidRDefault="00A30B47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        Контроль</w:t>
      </w:r>
      <w:r w:rsidRPr="00A30B4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за соблюдением платежными 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а также по использованию платежными агентами и поставщиками специальных банковских счетов для осуществления расчетов при приеме платежей осуществляют </w:t>
      </w:r>
      <w:r w:rsidRPr="00A30B4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налоговые органы Российской Федерации.</w:t>
      </w:r>
    </w:p>
    <w:p w:rsidR="00281C5B" w:rsidRDefault="00281C5B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281C5B" w:rsidRDefault="00281C5B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281C5B" w:rsidRDefault="00281C5B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281C5B" w:rsidRPr="00281C5B" w:rsidRDefault="00281C5B" w:rsidP="00695CB3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i/>
          <w:color w:val="555555"/>
          <w:sz w:val="24"/>
          <w:szCs w:val="24"/>
          <w:u w:val="single"/>
          <w:lang w:eastAsia="ru-RU"/>
        </w:rPr>
      </w:pPr>
      <w:r w:rsidRPr="00281C5B">
        <w:rPr>
          <w:rFonts w:ascii="Arial" w:eastAsia="Times New Roman" w:hAnsi="Arial" w:cs="Arial"/>
          <w:b/>
          <w:bCs/>
          <w:i/>
          <w:color w:val="555555"/>
          <w:sz w:val="24"/>
          <w:szCs w:val="24"/>
          <w:u w:val="single"/>
          <w:lang w:eastAsia="ru-RU"/>
        </w:rPr>
        <w:t xml:space="preserve">Источник: Управление </w:t>
      </w:r>
      <w:proofErr w:type="spellStart"/>
      <w:r w:rsidRPr="00281C5B">
        <w:rPr>
          <w:rFonts w:ascii="Arial" w:eastAsia="Times New Roman" w:hAnsi="Arial" w:cs="Arial"/>
          <w:b/>
          <w:bCs/>
          <w:i/>
          <w:color w:val="555555"/>
          <w:sz w:val="24"/>
          <w:szCs w:val="24"/>
          <w:u w:val="single"/>
          <w:lang w:eastAsia="ru-RU"/>
        </w:rPr>
        <w:t>Роспотребнадзора</w:t>
      </w:r>
      <w:proofErr w:type="spellEnd"/>
      <w:r w:rsidRPr="00281C5B">
        <w:rPr>
          <w:rFonts w:ascii="Arial" w:eastAsia="Times New Roman" w:hAnsi="Arial" w:cs="Arial"/>
          <w:b/>
          <w:bCs/>
          <w:i/>
          <w:color w:val="555555"/>
          <w:sz w:val="24"/>
          <w:szCs w:val="24"/>
          <w:u w:val="single"/>
          <w:lang w:eastAsia="ru-RU"/>
        </w:rPr>
        <w:t xml:space="preserve"> по РТ</w:t>
      </w:r>
    </w:p>
    <w:sectPr w:rsidR="00281C5B" w:rsidRPr="00281C5B" w:rsidSect="00695CB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A0"/>
    <w:rsid w:val="00025A53"/>
    <w:rsid w:val="000A7FB6"/>
    <w:rsid w:val="00281C5B"/>
    <w:rsid w:val="003D16CF"/>
    <w:rsid w:val="00414F74"/>
    <w:rsid w:val="00594C85"/>
    <w:rsid w:val="005B15E4"/>
    <w:rsid w:val="00634F3E"/>
    <w:rsid w:val="006462B7"/>
    <w:rsid w:val="00695CB3"/>
    <w:rsid w:val="006B355C"/>
    <w:rsid w:val="00752A0F"/>
    <w:rsid w:val="00754655"/>
    <w:rsid w:val="007D50A4"/>
    <w:rsid w:val="008B5F87"/>
    <w:rsid w:val="009B54F6"/>
    <w:rsid w:val="00A30B47"/>
    <w:rsid w:val="00B776B1"/>
    <w:rsid w:val="00BE22F6"/>
    <w:rsid w:val="00DA365A"/>
    <w:rsid w:val="00DC3CA0"/>
    <w:rsid w:val="00E13D58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D0938-2E06-4DDB-9360-5617C148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B47"/>
    <w:rPr>
      <w:b/>
      <w:bCs/>
    </w:rPr>
  </w:style>
  <w:style w:type="character" w:styleId="a5">
    <w:name w:val="Hyperlink"/>
    <w:basedOn w:val="a0"/>
    <w:uiPriority w:val="99"/>
    <w:unhideWhenUsed/>
    <w:rsid w:val="005B1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1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6496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14052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2024-05-23T05:56:00Z</dcterms:created>
  <dcterms:modified xsi:type="dcterms:W3CDTF">2024-05-23T05:56:00Z</dcterms:modified>
</cp:coreProperties>
</file>