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91" w:rsidRPr="00C43F19" w:rsidRDefault="007C0E91" w:rsidP="007C0E9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C247BD" w:rsidRPr="00C43F19" w:rsidRDefault="00C247BD" w:rsidP="002B71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9F22AF" w:rsidRPr="00C43F19" w:rsidRDefault="00C247BD" w:rsidP="00186C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9F22AF"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поселка </w:t>
      </w: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</w:t>
      </w:r>
      <w:r w:rsidR="009F22AF"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типа</w:t>
      </w: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9F22AF"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F22AF" w:rsidRPr="00C43F19" w:rsidRDefault="00C247BD" w:rsidP="00186C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9F22AF"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C247BD" w:rsidRPr="00C43F19" w:rsidRDefault="00C247BD" w:rsidP="00186C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C247BD" w:rsidRPr="00C43F19" w:rsidRDefault="00C247BD" w:rsidP="00186C7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1"/>
        <w:gridCol w:w="3416"/>
        <w:gridCol w:w="3424"/>
      </w:tblGrid>
      <w:tr w:rsidR="009F22AF" w:rsidRPr="00C43F19" w:rsidTr="00C247BD">
        <w:tc>
          <w:tcPr>
            <w:tcW w:w="3474" w:type="dxa"/>
          </w:tcPr>
          <w:p w:rsidR="00C247BD" w:rsidRPr="00C43F19" w:rsidRDefault="009F22AF" w:rsidP="00186C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</w:t>
            </w:r>
            <w:r w:rsidR="00C247BD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т. </w:t>
            </w:r>
            <w:r w:rsidR="00C247BD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</w:t>
            </w: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тюбинский</w:t>
            </w:r>
            <w:r w:rsidR="00C247BD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C247BD" w:rsidRPr="00C43F19" w:rsidRDefault="00C247BD" w:rsidP="007C0E9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7C0E91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</w:p>
        </w:tc>
        <w:tc>
          <w:tcPr>
            <w:tcW w:w="3474" w:type="dxa"/>
          </w:tcPr>
          <w:p w:rsidR="00C247BD" w:rsidRPr="00C43F19" w:rsidRDefault="009F22AF" w:rsidP="00C43F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C247BD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7C0E91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  <w:r w:rsidR="00C247BD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0E91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</w:t>
            </w: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247BD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7C0E91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247BD" w:rsidRPr="00C43F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</w:tr>
    </w:tbl>
    <w:p w:rsidR="00C247BD" w:rsidRPr="00C43F19" w:rsidRDefault="00C247BD" w:rsidP="00186C7A">
      <w:pPr>
        <w:widowControl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200"/>
        <w:ind w:right="425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247BD" w:rsidRPr="00C43F19" w:rsidRDefault="009F22AF" w:rsidP="00186C7A">
      <w:pPr>
        <w:widowControl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200"/>
        <w:ind w:right="326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внесении изменений в </w:t>
      </w: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Положение о муниципальном контроле в сфере благоустройства на территории </w:t>
      </w:r>
      <w:r w:rsidRPr="00C43F19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утвержденное решением Совета поселка городского типа Актюбинский Азнакаевского муниципального района Республики Татарстан от 30.11.2021 №</w:t>
      </w:r>
      <w:r w:rsidR="00B667B4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49 «</w:t>
      </w: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Положении о муниципальном контроле в сфере благоустройства на территории </w:t>
      </w:r>
      <w:r w:rsidRPr="00C43F19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(в редакции решений от 21.02.2022 № 13, от 07.06.2022 № 29, от 29.09.2022 №45</w:t>
      </w:r>
      <w:r w:rsidR="00B667B4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 28.06.2023 № 33</w:t>
      </w:r>
      <w:r w:rsidR="007C0E91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 27.10.2023 № 53</w:t>
      </w:r>
      <w:r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</w:p>
    <w:p w:rsidR="007C0E91" w:rsidRPr="00C43F19" w:rsidRDefault="007C0E91" w:rsidP="00186C7A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22AF" w:rsidRPr="00C43F19" w:rsidRDefault="007C0E91" w:rsidP="00186C7A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 Постановлени</w:t>
      </w:r>
      <w:r w:rsidR="00766E32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="00766E32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Правительства Российской Федерации от 23.05.2024 № 637 «О внесении изменений в некоторые акты Правительства Российской Федерации»</w:t>
      </w:r>
      <w:r w:rsidR="009F22AF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762A96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11.09.2024 № 1234 «О внесении изменений в постановление Правительства Российской Федерации от 10 марта 2022 г. №336»</w:t>
      </w:r>
    </w:p>
    <w:p w:rsidR="009F22AF" w:rsidRPr="00C43F19" w:rsidRDefault="009F22AF" w:rsidP="00186C7A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22AF" w:rsidRPr="00C43F19" w:rsidRDefault="009F22AF" w:rsidP="00186C7A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Совет поселка городского типа Актюбинский </w:t>
      </w:r>
    </w:p>
    <w:p w:rsidR="00C247BD" w:rsidRPr="00C43F19" w:rsidRDefault="009F22AF" w:rsidP="00186C7A">
      <w:pPr>
        <w:widowControl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C247BD" w:rsidRPr="00C43F19" w:rsidRDefault="00C247BD" w:rsidP="00186C7A">
      <w:pPr>
        <w:widowControl/>
        <w:autoSpaceDE w:val="0"/>
        <w:autoSpaceDN w:val="0"/>
        <w:adjustRightInd w:val="0"/>
        <w:ind w:right="852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62A96" w:rsidRPr="00C43F19" w:rsidRDefault="00C247BD" w:rsidP="007C0E91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593C9C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Внести </w:t>
      </w:r>
      <w:r w:rsidR="00B667B4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B667B4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Положение о муниципальном контроле в сфере благоустройства на территории </w:t>
      </w:r>
      <w:r w:rsidR="00B667B4" w:rsidRPr="00C43F19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B667B4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утвержденное решением Совета поселка городского типа Актюбинский Азнакаевского муниципального района Республики Татарстан от 30.11.2021 № 49 «</w:t>
      </w:r>
      <w:r w:rsidR="00B667B4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Положении о муниципальном контроле в сфере благоустройства на территории </w:t>
      </w:r>
      <w:r w:rsidR="00B667B4" w:rsidRPr="00C43F19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B667B4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(</w:t>
      </w:r>
      <w:r w:rsidR="007C0E91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редакции решений от 21.02.2022 №13, от 07.06.2022 № 29, от 29.09.2022 № 45, от 28.06.2023 № 33, от 27.10.2023 № 53</w:t>
      </w:r>
      <w:r w:rsidR="00B667B4"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="0066157B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93C9C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0E91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следующие изменения</w:t>
      </w:r>
      <w:r w:rsidR="00762A96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B72B3D" w:rsidRPr="00C43F19" w:rsidRDefault="006743A4" w:rsidP="007C0E91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1.1. </w:t>
      </w:r>
      <w:r w:rsidR="00B72B3D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абзац 10 пункта 4.7. исключить;</w:t>
      </w:r>
    </w:p>
    <w:p w:rsidR="007C0E91" w:rsidRPr="00C43F19" w:rsidRDefault="00762A96" w:rsidP="007C0E91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6743A4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7C0E91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пункте 4.7.1:</w:t>
      </w:r>
    </w:p>
    <w:p w:rsidR="007C0E91" w:rsidRPr="00C43F19" w:rsidRDefault="007C0E91" w:rsidP="007C0E91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абзац седьмой после слов «профилактические визиты» дополнить словами «, или критерии определения круга лиц»;</w:t>
      </w:r>
    </w:p>
    <w:p w:rsidR="007C0E91" w:rsidRPr="00C43F19" w:rsidRDefault="007C0E91" w:rsidP="007C0E91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б) дополнить абзацем следующего содержания:</w:t>
      </w:r>
    </w:p>
    <w:p w:rsidR="007C0E91" w:rsidRPr="00C43F19" w:rsidRDefault="007C0E91" w:rsidP="007C0E91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(надзорного) органа утверждается перечень контролируемых лиц, в отношении которых должны быть пров</w:t>
      </w:r>
      <w:r w:rsidR="00762A96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едены профилактические визиты.»;</w:t>
      </w:r>
    </w:p>
    <w:p w:rsidR="00762A96" w:rsidRPr="00C43F19" w:rsidRDefault="00762A96" w:rsidP="00762A96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6743A4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абзац второй пункта 4.7.2 </w:t>
      </w:r>
      <w:r w:rsidR="00766E32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изложить </w:t>
      </w: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следующей редакции:</w:t>
      </w:r>
    </w:p>
    <w:p w:rsidR="00762A96" w:rsidRPr="00C43F19" w:rsidRDefault="00762A96" w:rsidP="00762A96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дней.».</w:t>
      </w:r>
    </w:p>
    <w:p w:rsidR="00C247BD" w:rsidRPr="00C43F19" w:rsidRDefault="008B1249" w:rsidP="00186C7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9F22AF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</w:t>
      </w:r>
      <w:r w:rsidR="007C0E91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народ</w:t>
      </w:r>
      <w:r w:rsidR="009F22AF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овать настоящее решение </w:t>
      </w:r>
      <w:r w:rsidR="007C0E91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путем размещения </w:t>
      </w:r>
      <w:r w:rsidR="009F22AF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7C0E91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9F22AF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фициальном портале правовой информации Республики Татарстан по веб-адресу: </w:t>
      </w:r>
      <w:r w:rsidR="009F22AF" w:rsidRPr="00C43F19">
        <w:rPr>
          <w:rFonts w:ascii="Times New Roman" w:eastAsia="Calibri" w:hAnsi="Times New Roman" w:cs="Times New Roman"/>
          <w:sz w:val="28"/>
          <w:szCs w:val="28"/>
          <w:lang w:eastAsia="en-US"/>
        </w:rPr>
        <w:t>http://pravo.tatarstan.ru и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C247BD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9F22AF" w:rsidRPr="00C43F19" w:rsidRDefault="001B617D" w:rsidP="00186C7A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</w:t>
      </w:r>
      <w:r w:rsidR="00C247BD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F22AF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9F22AF" w:rsidRPr="00C43F19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9F22AF" w:rsidRPr="00C43F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самоуправлению.  </w:t>
      </w:r>
    </w:p>
    <w:p w:rsidR="009F22AF" w:rsidRPr="00C43F19" w:rsidRDefault="009F22AF" w:rsidP="00186C7A">
      <w:pPr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22AF" w:rsidRPr="00C43F19" w:rsidRDefault="009F22AF" w:rsidP="00186C7A">
      <w:pPr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247BD" w:rsidRPr="00766E32" w:rsidRDefault="009F22AF" w:rsidP="00C43F19">
      <w:pPr>
        <w:widowControl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                                                                               </w:t>
      </w:r>
      <w:r w:rsid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C43F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А.Л. Севостьянов</w:t>
      </w:r>
    </w:p>
    <w:p w:rsidR="00831C24" w:rsidRPr="00766E32" w:rsidRDefault="00831C24" w:rsidP="00186C7A">
      <w:pPr>
        <w:pStyle w:val="a4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831C24" w:rsidRPr="00766E32" w:rsidRDefault="00831C24" w:rsidP="00186C7A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Pr="00766E32" w:rsidRDefault="00831C24" w:rsidP="00831C24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sectPr w:rsidR="00831C24" w:rsidSect="0066157B">
      <w:pgSz w:w="11909" w:h="16838"/>
      <w:pgMar w:top="993" w:right="710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C4" w:rsidRDefault="009300C4" w:rsidP="007C0E91">
      <w:r>
        <w:separator/>
      </w:r>
    </w:p>
  </w:endnote>
  <w:endnote w:type="continuationSeparator" w:id="0">
    <w:p w:rsidR="009300C4" w:rsidRDefault="009300C4" w:rsidP="007C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C4" w:rsidRDefault="009300C4" w:rsidP="007C0E91">
      <w:r>
        <w:separator/>
      </w:r>
    </w:p>
  </w:footnote>
  <w:footnote w:type="continuationSeparator" w:id="0">
    <w:p w:rsidR="009300C4" w:rsidRDefault="009300C4" w:rsidP="007C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7B2"/>
    <w:multiLevelType w:val="multilevel"/>
    <w:tmpl w:val="B08446D0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F3716D"/>
    <w:multiLevelType w:val="hybridMultilevel"/>
    <w:tmpl w:val="BB5421C8"/>
    <w:lvl w:ilvl="0" w:tplc="418C0B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FAD699F"/>
    <w:multiLevelType w:val="hybridMultilevel"/>
    <w:tmpl w:val="3C76E32A"/>
    <w:lvl w:ilvl="0" w:tplc="4EC69B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AA"/>
    <w:rsid w:val="00037291"/>
    <w:rsid w:val="00037578"/>
    <w:rsid w:val="000A2D14"/>
    <w:rsid w:val="000D0172"/>
    <w:rsid w:val="000D7B68"/>
    <w:rsid w:val="00122F02"/>
    <w:rsid w:val="001415F1"/>
    <w:rsid w:val="0016731F"/>
    <w:rsid w:val="00172E67"/>
    <w:rsid w:val="00186C7A"/>
    <w:rsid w:val="001916A8"/>
    <w:rsid w:val="0019288C"/>
    <w:rsid w:val="001A6524"/>
    <w:rsid w:val="001B617D"/>
    <w:rsid w:val="001B6389"/>
    <w:rsid w:val="00241348"/>
    <w:rsid w:val="00263736"/>
    <w:rsid w:val="00284C95"/>
    <w:rsid w:val="002A303B"/>
    <w:rsid w:val="002B715C"/>
    <w:rsid w:val="002E6B6D"/>
    <w:rsid w:val="003B0756"/>
    <w:rsid w:val="003E6BCB"/>
    <w:rsid w:val="00405C9E"/>
    <w:rsid w:val="00461044"/>
    <w:rsid w:val="004B392C"/>
    <w:rsid w:val="004F0C2B"/>
    <w:rsid w:val="004F14E5"/>
    <w:rsid w:val="005204DE"/>
    <w:rsid w:val="00593C9C"/>
    <w:rsid w:val="005C6F84"/>
    <w:rsid w:val="005F096F"/>
    <w:rsid w:val="0066157B"/>
    <w:rsid w:val="006743A4"/>
    <w:rsid w:val="006855F5"/>
    <w:rsid w:val="006913A4"/>
    <w:rsid w:val="006B7E53"/>
    <w:rsid w:val="006C3983"/>
    <w:rsid w:val="00727AC2"/>
    <w:rsid w:val="00762A96"/>
    <w:rsid w:val="00766E32"/>
    <w:rsid w:val="007A55EF"/>
    <w:rsid w:val="007C0E91"/>
    <w:rsid w:val="007F3AB8"/>
    <w:rsid w:val="00831C24"/>
    <w:rsid w:val="00865824"/>
    <w:rsid w:val="008867BE"/>
    <w:rsid w:val="008B1249"/>
    <w:rsid w:val="008B4706"/>
    <w:rsid w:val="008C226B"/>
    <w:rsid w:val="008C399D"/>
    <w:rsid w:val="00901F75"/>
    <w:rsid w:val="00914F4D"/>
    <w:rsid w:val="009300C4"/>
    <w:rsid w:val="00991061"/>
    <w:rsid w:val="009A1983"/>
    <w:rsid w:val="009F22AF"/>
    <w:rsid w:val="009F5DEB"/>
    <w:rsid w:val="00A60F0C"/>
    <w:rsid w:val="00A674CD"/>
    <w:rsid w:val="00AB2DBA"/>
    <w:rsid w:val="00AC0B1F"/>
    <w:rsid w:val="00AD531F"/>
    <w:rsid w:val="00AE27FE"/>
    <w:rsid w:val="00B6048F"/>
    <w:rsid w:val="00B62903"/>
    <w:rsid w:val="00B667B4"/>
    <w:rsid w:val="00B72B3D"/>
    <w:rsid w:val="00C247BD"/>
    <w:rsid w:val="00C43F19"/>
    <w:rsid w:val="00C574D1"/>
    <w:rsid w:val="00C75DD2"/>
    <w:rsid w:val="00D57142"/>
    <w:rsid w:val="00D71828"/>
    <w:rsid w:val="00DB5C89"/>
    <w:rsid w:val="00DD392F"/>
    <w:rsid w:val="00DD4DD8"/>
    <w:rsid w:val="00E06CFB"/>
    <w:rsid w:val="00E631E6"/>
    <w:rsid w:val="00EC7BD5"/>
    <w:rsid w:val="00F21B3A"/>
    <w:rsid w:val="00F64FFA"/>
    <w:rsid w:val="00FA6BD8"/>
    <w:rsid w:val="00FB3FAA"/>
    <w:rsid w:val="00FE2E11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9F698-ACCA-4257-B686-318E156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7BD"/>
    <w:rPr>
      <w:b/>
      <w:bCs/>
    </w:rPr>
  </w:style>
  <w:style w:type="paragraph" w:styleId="a4">
    <w:name w:val="No Spacing"/>
    <w:uiPriority w:val="1"/>
    <w:qFormat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rsid w:val="00C2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">
    <w:name w:val="WWNum1aa"/>
    <w:basedOn w:val="a2"/>
    <w:rsid w:val="00FF250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9A1983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83"/>
    <w:rPr>
      <w:rFonts w:ascii="Calibri" w:eastAsia="Courier New" w:hAnsi="Calibri" w:cs="Calibri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7E5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8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C0E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0E9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0E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0E9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EB30-9D7B-4DD1-BFE5-07CC5C02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2023-10-26T07:05:00Z</cp:lastPrinted>
  <dcterms:created xsi:type="dcterms:W3CDTF">2021-11-30T05:59:00Z</dcterms:created>
  <dcterms:modified xsi:type="dcterms:W3CDTF">2024-10-17T05:29:00Z</dcterms:modified>
</cp:coreProperties>
</file>